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ˎ̥" w:eastAsia="黑体"/>
          <w:sz w:val="44"/>
          <w:szCs w:val="44"/>
        </w:rPr>
      </w:pPr>
    </w:p>
    <w:p>
      <w:pPr>
        <w:jc w:val="center"/>
        <w:rPr>
          <w:rFonts w:ascii="黑体" w:hAnsi="ˎ̥" w:eastAsia="黑体"/>
          <w:sz w:val="44"/>
          <w:szCs w:val="44"/>
        </w:rPr>
      </w:pPr>
    </w:p>
    <w:p>
      <w:pPr>
        <w:jc w:val="center"/>
        <w:rPr>
          <w:rFonts w:ascii="黑体" w:hAnsi="ˎ̥" w:eastAsia="黑体"/>
          <w:sz w:val="44"/>
          <w:szCs w:val="44"/>
        </w:rPr>
      </w:pPr>
      <w:r>
        <w:rPr>
          <w:rFonts w:hint="eastAsia" w:ascii="黑体" w:hAnsi="ˎ̥" w:eastAsia="黑体"/>
          <w:sz w:val="44"/>
          <w:szCs w:val="44"/>
        </w:rPr>
        <w:t>海南经贸职业技术学院</w:t>
      </w:r>
    </w:p>
    <w:p>
      <w:pPr>
        <w:jc w:val="center"/>
        <w:rPr>
          <w:rFonts w:ascii="黑体" w:hAnsi="ˎ̥" w:eastAsia="黑体"/>
          <w:sz w:val="44"/>
          <w:szCs w:val="44"/>
        </w:rPr>
      </w:pPr>
      <w:r>
        <w:rPr>
          <w:rFonts w:hint="eastAsia" w:ascii="黑体" w:hAnsi="ˎ̥" w:eastAsia="黑体"/>
          <w:sz w:val="44"/>
          <w:szCs w:val="44"/>
        </w:rPr>
        <w:t>2021年度部门决算公开说明</w:t>
      </w:r>
    </w:p>
    <w:p>
      <w:pPr>
        <w:jc w:val="center"/>
        <w:rPr>
          <w:rFonts w:ascii="黑体" w:hAnsi="ˎ̥" w:eastAsia="黑体"/>
          <w:sz w:val="44"/>
          <w:szCs w:val="44"/>
        </w:rPr>
      </w:pPr>
    </w:p>
    <w:p>
      <w:pPr>
        <w:jc w:val="center"/>
        <w:rPr>
          <w:rFonts w:ascii="黑体" w:hAnsi="ˎ̥" w:eastAsia="黑体"/>
          <w:b/>
          <w:sz w:val="32"/>
          <w:szCs w:val="32"/>
        </w:rPr>
      </w:pPr>
    </w:p>
    <w:p>
      <w:pPr>
        <w:jc w:val="center"/>
        <w:rPr>
          <w:rFonts w:ascii="黑体" w:hAnsi="黑体" w:eastAsia="黑体" w:cs="黑体"/>
          <w:sz w:val="44"/>
          <w:szCs w:val="44"/>
        </w:rPr>
      </w:pPr>
      <w:bookmarkStart w:id="0" w:name="_Toc11440_WPSOffice_Type2"/>
      <w:r>
        <w:rPr>
          <w:rFonts w:hint="eastAsia" w:ascii="黑体" w:hAnsi="黑体" w:eastAsia="黑体" w:cs="黑体"/>
          <w:sz w:val="44"/>
          <w:szCs w:val="44"/>
        </w:rPr>
        <w:t>目  录</w:t>
      </w:r>
    </w:p>
    <w:p>
      <w:pPr>
        <w:pStyle w:val="7"/>
        <w:tabs>
          <w:tab w:val="right" w:leader="dot" w:pos="8306"/>
        </w:tabs>
        <w:rPr>
          <w:sz w:val="32"/>
          <w:szCs w:val="32"/>
        </w:rPr>
      </w:pPr>
      <w:r>
        <w:fldChar w:fldCharType="begin"/>
      </w:r>
      <w:r>
        <w:instrText xml:space="preserve"> HYPERLINK \l "_Toc1704_WPSOffice_Level1" </w:instrText>
      </w:r>
      <w:r>
        <w:fldChar w:fldCharType="separate"/>
      </w:r>
      <w:r>
        <w:rPr>
          <w:rFonts w:hint="eastAsia" w:ascii="黑体" w:hAnsi="ˎ̥" w:eastAsia="黑体"/>
          <w:sz w:val="30"/>
          <w:szCs w:val="30"/>
        </w:rPr>
        <w:t>第一部分  海南经贸职业技术学院部门概况</w:t>
      </w:r>
      <w:r>
        <w:rPr>
          <w:sz w:val="32"/>
          <w:szCs w:val="32"/>
        </w:rPr>
        <w:tab/>
      </w:r>
      <w:r>
        <w:rPr>
          <w:rFonts w:hint="eastAsia"/>
          <w:sz w:val="32"/>
          <w:szCs w:val="32"/>
        </w:rPr>
        <w:t>3</w:t>
      </w:r>
      <w:r>
        <w:rPr>
          <w:rFonts w:hint="eastAsia"/>
          <w:sz w:val="32"/>
          <w:szCs w:val="32"/>
        </w:rPr>
        <w:fldChar w:fldCharType="end"/>
      </w:r>
    </w:p>
    <w:p>
      <w:pPr>
        <w:pStyle w:val="8"/>
        <w:tabs>
          <w:tab w:val="right" w:leader="dot" w:pos="8306"/>
        </w:tabs>
        <w:ind w:left="0" w:leftChars="0"/>
        <w:rPr>
          <w:rFonts w:ascii="仿宋" w:hAnsi="仿宋" w:eastAsia="仿宋" w:cs="仿宋"/>
          <w:sz w:val="30"/>
          <w:szCs w:val="30"/>
        </w:rPr>
      </w:pPr>
      <w:r>
        <w:fldChar w:fldCharType="begin"/>
      </w:r>
      <w:r>
        <w:instrText xml:space="preserve"> HYPERLINK \l "_Toc20274_WPSOffice_Level2" </w:instrText>
      </w:r>
      <w:r>
        <w:fldChar w:fldCharType="separate"/>
      </w:r>
      <w:r>
        <w:rPr>
          <w:rFonts w:hint="eastAsia" w:ascii="仿宋" w:hAnsi="仿宋" w:eastAsia="仿宋" w:cs="仿宋"/>
          <w:sz w:val="30"/>
          <w:szCs w:val="30"/>
        </w:rPr>
        <w:t>一、部门职责</w:t>
      </w:r>
      <w:r>
        <w:rPr>
          <w:rFonts w:hint="eastAsia" w:ascii="仿宋" w:hAnsi="仿宋" w:eastAsia="仿宋" w:cs="仿宋"/>
          <w:sz w:val="30"/>
          <w:szCs w:val="30"/>
        </w:rPr>
        <w:tab/>
      </w:r>
      <w:r>
        <w:rPr>
          <w:rFonts w:hint="eastAsia" w:ascii="仿宋" w:hAnsi="仿宋" w:eastAsia="仿宋" w:cs="仿宋"/>
          <w:sz w:val="30"/>
          <w:szCs w:val="30"/>
        </w:rPr>
        <w:t>3</w:t>
      </w:r>
      <w:r>
        <w:rPr>
          <w:rFonts w:hint="eastAsia" w:ascii="仿宋" w:hAnsi="仿宋" w:eastAsia="仿宋" w:cs="仿宋"/>
          <w:sz w:val="30"/>
          <w:szCs w:val="30"/>
        </w:rPr>
        <w:fldChar w:fldCharType="end"/>
      </w:r>
    </w:p>
    <w:p>
      <w:pPr>
        <w:pStyle w:val="8"/>
        <w:tabs>
          <w:tab w:val="right" w:leader="dot" w:pos="8306"/>
        </w:tabs>
        <w:ind w:left="0" w:leftChars="0"/>
        <w:rPr>
          <w:rFonts w:ascii="仿宋" w:hAnsi="仿宋" w:eastAsia="仿宋" w:cs="仿宋"/>
          <w:sz w:val="30"/>
          <w:szCs w:val="30"/>
        </w:rPr>
      </w:pPr>
      <w:r>
        <w:fldChar w:fldCharType="begin"/>
      </w:r>
      <w:r>
        <w:instrText xml:space="preserve"> HYPERLINK \l "_Toc4833_WPSOffice_Level2" </w:instrText>
      </w:r>
      <w:r>
        <w:fldChar w:fldCharType="separate"/>
      </w:r>
      <w:r>
        <w:rPr>
          <w:rFonts w:hint="eastAsia" w:ascii="仿宋" w:hAnsi="仿宋" w:eastAsia="仿宋" w:cs="仿宋"/>
          <w:sz w:val="30"/>
          <w:szCs w:val="30"/>
        </w:rPr>
        <w:t>二、机构设置</w:t>
      </w:r>
      <w:r>
        <w:rPr>
          <w:rFonts w:hint="eastAsia" w:ascii="仿宋" w:hAnsi="仿宋" w:eastAsia="仿宋" w:cs="仿宋"/>
          <w:sz w:val="30"/>
          <w:szCs w:val="30"/>
        </w:rPr>
        <w:tab/>
      </w:r>
      <w:r>
        <w:rPr>
          <w:rFonts w:hint="eastAsia" w:ascii="仿宋" w:hAnsi="仿宋" w:eastAsia="仿宋" w:cs="仿宋"/>
          <w:sz w:val="30"/>
          <w:szCs w:val="30"/>
          <w:lang w:val="en-US" w:eastAsia="zh-CN"/>
        </w:rPr>
        <w:t>4</w:t>
      </w:r>
      <w:r>
        <w:rPr>
          <w:rFonts w:hint="eastAsia" w:ascii="仿宋" w:hAnsi="仿宋" w:eastAsia="仿宋" w:cs="仿宋"/>
          <w:sz w:val="30"/>
          <w:szCs w:val="30"/>
        </w:rPr>
        <w:fldChar w:fldCharType="end"/>
      </w:r>
    </w:p>
    <w:p>
      <w:pPr>
        <w:pStyle w:val="7"/>
        <w:tabs>
          <w:tab w:val="right" w:leader="dot" w:pos="8306"/>
        </w:tabs>
        <w:rPr>
          <w:rFonts w:ascii="黑体" w:hAnsi="黑体" w:eastAsia="黑体" w:cs="黑体"/>
          <w:sz w:val="30"/>
          <w:szCs w:val="30"/>
        </w:rPr>
      </w:pPr>
      <w:r>
        <w:fldChar w:fldCharType="begin"/>
      </w:r>
      <w:r>
        <w:instrText xml:space="preserve"> HYPERLINK \l "_Toc28253_WPSOffice_Level1" </w:instrText>
      </w:r>
      <w:r>
        <w:fldChar w:fldCharType="separate"/>
      </w:r>
      <w:r>
        <w:rPr>
          <w:rFonts w:hint="eastAsia" w:ascii="黑体" w:hAnsi="黑体" w:eastAsia="黑体" w:cs="黑体"/>
          <w:sz w:val="30"/>
          <w:szCs w:val="30"/>
        </w:rPr>
        <w:t>第二部分  海南经贸职业技术学院2021年度部门决算公开表</w:t>
      </w:r>
      <w:r>
        <w:rPr>
          <w:rFonts w:hint="eastAsia" w:ascii="黑体" w:hAnsi="黑体" w:eastAsia="黑体" w:cs="黑体"/>
          <w:sz w:val="30"/>
          <w:szCs w:val="30"/>
        </w:rPr>
        <w:tab/>
      </w:r>
      <w:r>
        <w:rPr>
          <w:rFonts w:hint="eastAsia" w:ascii="黑体" w:hAnsi="黑体" w:eastAsia="黑体" w:cs="黑体"/>
          <w:sz w:val="30"/>
          <w:szCs w:val="30"/>
          <w:lang w:val="en-US" w:eastAsia="zh-CN"/>
        </w:rPr>
        <w:t>5</w:t>
      </w:r>
      <w:r>
        <w:rPr>
          <w:rFonts w:hint="eastAsia" w:ascii="黑体" w:hAnsi="黑体" w:eastAsia="黑体" w:cs="黑体"/>
          <w:sz w:val="30"/>
          <w:szCs w:val="30"/>
        </w:rPr>
        <w:fldChar w:fldCharType="end"/>
      </w:r>
    </w:p>
    <w:p>
      <w:pPr>
        <w:pStyle w:val="8"/>
        <w:tabs>
          <w:tab w:val="right" w:leader="dot" w:pos="8306"/>
        </w:tabs>
        <w:ind w:left="0" w:leftChars="0"/>
        <w:rPr>
          <w:rFonts w:ascii="仿宋" w:hAnsi="仿宋" w:eastAsia="仿宋" w:cs="仿宋"/>
          <w:sz w:val="30"/>
          <w:szCs w:val="30"/>
        </w:rPr>
      </w:pPr>
      <w:r>
        <w:fldChar w:fldCharType="begin"/>
      </w:r>
      <w:r>
        <w:instrText xml:space="preserve"> HYPERLINK \l "_Toc11518_WPSOffice_Level2" </w:instrText>
      </w:r>
      <w:r>
        <w:fldChar w:fldCharType="separate"/>
      </w:r>
      <w:r>
        <w:rPr>
          <w:rFonts w:hint="eastAsia" w:ascii="仿宋" w:hAnsi="仿宋" w:eastAsia="仿宋" w:cs="仿宋"/>
          <w:sz w:val="30"/>
          <w:szCs w:val="30"/>
        </w:rPr>
        <w:t>一、收入支出决算公开表</w:t>
      </w:r>
      <w:r>
        <w:rPr>
          <w:rFonts w:hint="eastAsia" w:ascii="仿宋" w:hAnsi="仿宋" w:eastAsia="仿宋" w:cs="仿宋"/>
          <w:sz w:val="30"/>
          <w:szCs w:val="30"/>
        </w:rPr>
        <w:tab/>
      </w:r>
      <w:r>
        <w:rPr>
          <w:rFonts w:hint="eastAsia" w:ascii="仿宋" w:hAnsi="仿宋" w:eastAsia="仿宋" w:cs="仿宋"/>
          <w:sz w:val="30"/>
          <w:szCs w:val="30"/>
          <w:lang w:val="en-US" w:eastAsia="zh-CN"/>
        </w:rPr>
        <w:t>5</w:t>
      </w:r>
      <w:r>
        <w:rPr>
          <w:rFonts w:hint="eastAsia" w:ascii="仿宋" w:hAnsi="仿宋" w:eastAsia="仿宋" w:cs="仿宋"/>
          <w:sz w:val="30"/>
          <w:szCs w:val="30"/>
        </w:rPr>
        <w:fldChar w:fldCharType="end"/>
      </w:r>
    </w:p>
    <w:p>
      <w:pPr>
        <w:pStyle w:val="8"/>
        <w:tabs>
          <w:tab w:val="right" w:leader="dot" w:pos="8306"/>
        </w:tabs>
        <w:ind w:left="0" w:leftChars="0"/>
        <w:rPr>
          <w:rFonts w:ascii="仿宋" w:hAnsi="仿宋" w:eastAsia="仿宋" w:cs="仿宋"/>
          <w:sz w:val="30"/>
          <w:szCs w:val="30"/>
        </w:rPr>
      </w:pPr>
      <w:r>
        <w:fldChar w:fldCharType="begin"/>
      </w:r>
      <w:r>
        <w:instrText xml:space="preserve"> HYPERLINK \l "_Toc28622_WPSOffice_Level2" </w:instrText>
      </w:r>
      <w:r>
        <w:fldChar w:fldCharType="separate"/>
      </w:r>
      <w:r>
        <w:rPr>
          <w:rFonts w:hint="eastAsia" w:ascii="仿宋" w:hAnsi="仿宋" w:eastAsia="仿宋" w:cs="仿宋"/>
          <w:sz w:val="30"/>
          <w:szCs w:val="30"/>
        </w:rPr>
        <w:t>二、收入决算公开表</w:t>
      </w:r>
      <w:r>
        <w:rPr>
          <w:rFonts w:hint="eastAsia" w:ascii="仿宋" w:hAnsi="仿宋" w:eastAsia="仿宋" w:cs="仿宋"/>
          <w:sz w:val="30"/>
          <w:szCs w:val="30"/>
        </w:rPr>
        <w:tab/>
      </w:r>
      <w:r>
        <w:rPr>
          <w:rFonts w:hint="eastAsia" w:ascii="仿宋" w:hAnsi="仿宋" w:eastAsia="仿宋" w:cs="仿宋"/>
          <w:sz w:val="30"/>
          <w:szCs w:val="30"/>
          <w:lang w:val="en-US" w:eastAsia="zh-CN"/>
        </w:rPr>
        <w:t>5</w:t>
      </w:r>
      <w:r>
        <w:rPr>
          <w:rFonts w:hint="eastAsia" w:ascii="仿宋" w:hAnsi="仿宋" w:eastAsia="仿宋" w:cs="仿宋"/>
          <w:sz w:val="30"/>
          <w:szCs w:val="30"/>
        </w:rPr>
        <w:fldChar w:fldCharType="end"/>
      </w:r>
    </w:p>
    <w:p>
      <w:pPr>
        <w:pStyle w:val="8"/>
        <w:tabs>
          <w:tab w:val="right" w:leader="dot" w:pos="8306"/>
        </w:tabs>
        <w:ind w:left="0" w:leftChars="0"/>
        <w:rPr>
          <w:rFonts w:ascii="仿宋" w:hAnsi="仿宋" w:eastAsia="仿宋" w:cs="仿宋"/>
          <w:sz w:val="30"/>
          <w:szCs w:val="30"/>
        </w:rPr>
      </w:pPr>
      <w:r>
        <w:fldChar w:fldCharType="begin"/>
      </w:r>
      <w:r>
        <w:instrText xml:space="preserve"> HYPERLINK \l "_Toc5489_WPSOffice_Level2" </w:instrText>
      </w:r>
      <w:r>
        <w:fldChar w:fldCharType="separate"/>
      </w:r>
      <w:r>
        <w:rPr>
          <w:rFonts w:hint="eastAsia" w:ascii="仿宋" w:hAnsi="仿宋" w:eastAsia="仿宋" w:cs="仿宋"/>
          <w:sz w:val="30"/>
          <w:szCs w:val="30"/>
        </w:rPr>
        <w:t>三、支出决算公开表</w:t>
      </w:r>
      <w:r>
        <w:rPr>
          <w:rFonts w:hint="eastAsia" w:ascii="仿宋" w:hAnsi="仿宋" w:eastAsia="仿宋" w:cs="仿宋"/>
          <w:sz w:val="30"/>
          <w:szCs w:val="30"/>
        </w:rPr>
        <w:tab/>
      </w:r>
      <w:r>
        <w:rPr>
          <w:rFonts w:hint="eastAsia" w:ascii="仿宋" w:hAnsi="仿宋" w:eastAsia="仿宋" w:cs="仿宋"/>
          <w:sz w:val="30"/>
          <w:szCs w:val="30"/>
          <w:lang w:val="en-US" w:eastAsia="zh-CN"/>
        </w:rPr>
        <w:t>5</w:t>
      </w:r>
      <w:r>
        <w:rPr>
          <w:rFonts w:hint="eastAsia" w:ascii="仿宋" w:hAnsi="仿宋" w:eastAsia="仿宋" w:cs="仿宋"/>
          <w:sz w:val="30"/>
          <w:szCs w:val="30"/>
        </w:rPr>
        <w:fldChar w:fldCharType="end"/>
      </w:r>
    </w:p>
    <w:p>
      <w:pPr>
        <w:pStyle w:val="8"/>
        <w:tabs>
          <w:tab w:val="right" w:leader="dot" w:pos="8306"/>
        </w:tabs>
        <w:ind w:left="0" w:leftChars="0"/>
        <w:rPr>
          <w:rFonts w:ascii="仿宋" w:hAnsi="仿宋" w:eastAsia="仿宋" w:cs="仿宋"/>
          <w:sz w:val="30"/>
          <w:szCs w:val="30"/>
        </w:rPr>
      </w:pPr>
      <w:r>
        <w:fldChar w:fldCharType="begin"/>
      </w:r>
      <w:r>
        <w:instrText xml:space="preserve"> HYPERLINK \l "_Toc23493_WPSOffice_Level2" </w:instrText>
      </w:r>
      <w:r>
        <w:fldChar w:fldCharType="separate"/>
      </w:r>
      <w:r>
        <w:rPr>
          <w:rFonts w:hint="eastAsia" w:ascii="仿宋" w:hAnsi="仿宋" w:eastAsia="仿宋" w:cs="仿宋"/>
          <w:sz w:val="30"/>
          <w:szCs w:val="30"/>
        </w:rPr>
        <w:t>四、财政拨款收入支出决算公开表</w:t>
      </w:r>
      <w:r>
        <w:rPr>
          <w:rFonts w:hint="eastAsia" w:ascii="仿宋" w:hAnsi="仿宋" w:eastAsia="仿宋" w:cs="仿宋"/>
          <w:sz w:val="30"/>
          <w:szCs w:val="30"/>
        </w:rPr>
        <w:tab/>
      </w:r>
      <w:r>
        <w:rPr>
          <w:rFonts w:hint="eastAsia" w:ascii="仿宋" w:hAnsi="仿宋" w:eastAsia="仿宋" w:cs="仿宋"/>
          <w:sz w:val="30"/>
          <w:szCs w:val="30"/>
          <w:lang w:val="en-US" w:eastAsia="zh-CN"/>
        </w:rPr>
        <w:t>5</w:t>
      </w:r>
      <w:r>
        <w:rPr>
          <w:rFonts w:hint="eastAsia" w:ascii="仿宋" w:hAnsi="仿宋" w:eastAsia="仿宋" w:cs="仿宋"/>
          <w:sz w:val="30"/>
          <w:szCs w:val="30"/>
        </w:rPr>
        <w:fldChar w:fldCharType="end"/>
      </w:r>
    </w:p>
    <w:p>
      <w:pPr>
        <w:pStyle w:val="8"/>
        <w:tabs>
          <w:tab w:val="right" w:leader="dot" w:pos="8306"/>
        </w:tabs>
        <w:ind w:left="0" w:leftChars="0"/>
        <w:rPr>
          <w:rFonts w:ascii="仿宋" w:hAnsi="仿宋" w:eastAsia="仿宋" w:cs="仿宋"/>
          <w:sz w:val="30"/>
          <w:szCs w:val="30"/>
        </w:rPr>
      </w:pPr>
      <w:r>
        <w:fldChar w:fldCharType="begin"/>
      </w:r>
      <w:r>
        <w:instrText xml:space="preserve"> HYPERLINK \l "_Toc7879_WPSOffice_Level2" </w:instrText>
      </w:r>
      <w:r>
        <w:fldChar w:fldCharType="separate"/>
      </w:r>
      <w:r>
        <w:rPr>
          <w:rFonts w:hint="eastAsia" w:ascii="仿宋" w:hAnsi="仿宋" w:eastAsia="仿宋" w:cs="仿宋"/>
          <w:sz w:val="30"/>
          <w:szCs w:val="30"/>
        </w:rPr>
        <w:t>五、一般公共预算财政拨款收入支出决算公开表</w:t>
      </w:r>
      <w:r>
        <w:rPr>
          <w:rFonts w:hint="eastAsia" w:ascii="仿宋" w:hAnsi="仿宋" w:eastAsia="仿宋" w:cs="仿宋"/>
          <w:sz w:val="30"/>
          <w:szCs w:val="30"/>
        </w:rPr>
        <w:tab/>
      </w:r>
      <w:r>
        <w:rPr>
          <w:rFonts w:hint="eastAsia" w:ascii="仿宋" w:hAnsi="仿宋" w:eastAsia="仿宋" w:cs="仿宋"/>
          <w:sz w:val="30"/>
          <w:szCs w:val="30"/>
          <w:lang w:val="en-US" w:eastAsia="zh-CN"/>
        </w:rPr>
        <w:t>5</w:t>
      </w:r>
      <w:r>
        <w:rPr>
          <w:rFonts w:hint="eastAsia" w:ascii="仿宋" w:hAnsi="仿宋" w:eastAsia="仿宋" w:cs="仿宋"/>
          <w:sz w:val="30"/>
          <w:szCs w:val="30"/>
        </w:rPr>
        <w:fldChar w:fldCharType="end"/>
      </w:r>
    </w:p>
    <w:p>
      <w:pPr>
        <w:pStyle w:val="8"/>
        <w:tabs>
          <w:tab w:val="right" w:leader="dot" w:pos="8306"/>
        </w:tabs>
        <w:ind w:left="0" w:leftChars="0"/>
        <w:rPr>
          <w:rFonts w:ascii="仿宋" w:hAnsi="仿宋" w:eastAsia="仿宋" w:cs="仿宋"/>
          <w:sz w:val="30"/>
          <w:szCs w:val="30"/>
        </w:rPr>
      </w:pPr>
      <w:r>
        <w:fldChar w:fldCharType="begin"/>
      </w:r>
      <w:r>
        <w:instrText xml:space="preserve"> HYPERLINK \l "_Toc8373_WPSOffice_Level2" </w:instrText>
      </w:r>
      <w:r>
        <w:fldChar w:fldCharType="separate"/>
      </w:r>
      <w:r>
        <w:rPr>
          <w:rFonts w:hint="eastAsia" w:ascii="仿宋" w:hAnsi="仿宋" w:eastAsia="仿宋" w:cs="仿宋"/>
          <w:sz w:val="30"/>
          <w:szCs w:val="30"/>
        </w:rPr>
        <w:t>六、一般公共预算财政拨款基本支出决算公开表</w:t>
      </w:r>
      <w:r>
        <w:rPr>
          <w:rFonts w:hint="eastAsia" w:ascii="仿宋" w:hAnsi="仿宋" w:eastAsia="仿宋" w:cs="仿宋"/>
          <w:sz w:val="30"/>
          <w:szCs w:val="30"/>
        </w:rPr>
        <w:tab/>
      </w:r>
      <w:r>
        <w:rPr>
          <w:rFonts w:hint="eastAsia" w:ascii="仿宋" w:hAnsi="仿宋" w:eastAsia="仿宋" w:cs="仿宋"/>
          <w:sz w:val="30"/>
          <w:szCs w:val="30"/>
          <w:lang w:val="en-US" w:eastAsia="zh-CN"/>
        </w:rPr>
        <w:t>5</w:t>
      </w:r>
      <w:r>
        <w:rPr>
          <w:rFonts w:hint="eastAsia" w:ascii="仿宋" w:hAnsi="仿宋" w:eastAsia="仿宋" w:cs="仿宋"/>
          <w:sz w:val="30"/>
          <w:szCs w:val="30"/>
        </w:rPr>
        <w:fldChar w:fldCharType="end"/>
      </w:r>
    </w:p>
    <w:p>
      <w:pPr>
        <w:pStyle w:val="8"/>
        <w:tabs>
          <w:tab w:val="right" w:leader="dot" w:pos="8306"/>
        </w:tabs>
        <w:ind w:left="0" w:leftChars="0"/>
        <w:rPr>
          <w:rFonts w:ascii="仿宋" w:hAnsi="仿宋" w:eastAsia="仿宋" w:cs="仿宋"/>
          <w:sz w:val="30"/>
          <w:szCs w:val="30"/>
        </w:rPr>
      </w:pPr>
      <w:r>
        <w:fldChar w:fldCharType="begin"/>
      </w:r>
      <w:r>
        <w:instrText xml:space="preserve"> HYPERLINK \l "_Toc1820_WPSOffice_Level2" </w:instrText>
      </w:r>
      <w:r>
        <w:fldChar w:fldCharType="separate"/>
      </w:r>
      <w:r>
        <w:rPr>
          <w:rFonts w:hint="eastAsia" w:ascii="仿宋" w:hAnsi="仿宋" w:eastAsia="仿宋" w:cs="仿宋"/>
          <w:sz w:val="30"/>
          <w:szCs w:val="30"/>
        </w:rPr>
        <w:t>七、政府性基金预算财政拨款收入支出决算公开表</w:t>
      </w:r>
      <w:r>
        <w:rPr>
          <w:rFonts w:hint="eastAsia" w:ascii="仿宋" w:hAnsi="仿宋" w:eastAsia="仿宋" w:cs="仿宋"/>
          <w:sz w:val="30"/>
          <w:szCs w:val="30"/>
        </w:rPr>
        <w:tab/>
      </w:r>
      <w:r>
        <w:rPr>
          <w:rFonts w:hint="eastAsia" w:ascii="仿宋" w:hAnsi="仿宋" w:eastAsia="仿宋" w:cs="仿宋"/>
          <w:sz w:val="30"/>
          <w:szCs w:val="30"/>
          <w:lang w:val="en-US" w:eastAsia="zh-CN"/>
        </w:rPr>
        <w:t>5</w:t>
      </w:r>
      <w:r>
        <w:rPr>
          <w:rFonts w:hint="eastAsia" w:ascii="仿宋" w:hAnsi="仿宋" w:eastAsia="仿宋" w:cs="仿宋"/>
          <w:sz w:val="30"/>
          <w:szCs w:val="30"/>
        </w:rPr>
        <w:fldChar w:fldCharType="end"/>
      </w:r>
    </w:p>
    <w:p>
      <w:pPr>
        <w:pStyle w:val="8"/>
        <w:tabs>
          <w:tab w:val="right" w:leader="dot" w:pos="8306"/>
        </w:tabs>
        <w:ind w:left="0" w:leftChars="0"/>
        <w:rPr>
          <w:rFonts w:ascii="仿宋" w:hAnsi="仿宋" w:eastAsia="仿宋" w:cs="仿宋"/>
          <w:sz w:val="30"/>
          <w:szCs w:val="30"/>
        </w:rPr>
      </w:pPr>
      <w:r>
        <w:fldChar w:fldCharType="begin"/>
      </w:r>
      <w:r>
        <w:instrText xml:space="preserve"> HYPERLINK \l "_Toc1820_WPSOffice_Level2" </w:instrText>
      </w:r>
      <w:r>
        <w:fldChar w:fldCharType="separate"/>
      </w:r>
      <w:r>
        <w:rPr>
          <w:rFonts w:hint="eastAsia" w:ascii="仿宋" w:hAnsi="仿宋" w:eastAsia="仿宋" w:cs="仿宋"/>
          <w:sz w:val="30"/>
          <w:szCs w:val="30"/>
        </w:rPr>
        <w:t>八、国有资本经营预算财政拨款收入支出决算公开表</w:t>
      </w:r>
      <w:r>
        <w:rPr>
          <w:rFonts w:hint="eastAsia" w:ascii="仿宋" w:hAnsi="仿宋" w:eastAsia="仿宋" w:cs="仿宋"/>
          <w:sz w:val="30"/>
          <w:szCs w:val="30"/>
        </w:rPr>
        <w:tab/>
      </w:r>
      <w:r>
        <w:rPr>
          <w:rFonts w:hint="eastAsia" w:ascii="仿宋" w:hAnsi="仿宋" w:eastAsia="仿宋" w:cs="仿宋"/>
          <w:sz w:val="30"/>
          <w:szCs w:val="30"/>
          <w:lang w:val="en-US" w:eastAsia="zh-CN"/>
        </w:rPr>
        <w:t>5</w:t>
      </w:r>
      <w:r>
        <w:rPr>
          <w:rFonts w:hint="eastAsia" w:ascii="仿宋" w:hAnsi="仿宋" w:eastAsia="仿宋" w:cs="仿宋"/>
          <w:sz w:val="30"/>
          <w:szCs w:val="30"/>
        </w:rPr>
        <w:fldChar w:fldCharType="end"/>
      </w:r>
    </w:p>
    <w:p>
      <w:pPr>
        <w:pStyle w:val="8"/>
        <w:tabs>
          <w:tab w:val="right" w:leader="dot" w:pos="8306"/>
        </w:tabs>
        <w:ind w:left="0" w:leftChars="0"/>
        <w:rPr>
          <w:rFonts w:ascii="仿宋" w:hAnsi="仿宋" w:eastAsia="仿宋" w:cs="仿宋"/>
          <w:sz w:val="30"/>
          <w:szCs w:val="30"/>
        </w:rPr>
      </w:pPr>
      <w:r>
        <w:fldChar w:fldCharType="begin"/>
      </w:r>
      <w:r>
        <w:instrText xml:space="preserve"> HYPERLINK \l "_Toc21310_WPSOffice_Level2" </w:instrText>
      </w:r>
      <w:r>
        <w:fldChar w:fldCharType="separate"/>
      </w:r>
      <w:r>
        <w:rPr>
          <w:rFonts w:hint="eastAsia" w:ascii="仿宋" w:hAnsi="仿宋" w:eastAsia="仿宋" w:cs="仿宋"/>
          <w:sz w:val="30"/>
          <w:szCs w:val="30"/>
        </w:rPr>
        <w:t>九、一般公共预算财政拨款“三公”经费支出决算公开表</w:t>
      </w:r>
      <w:r>
        <w:rPr>
          <w:rFonts w:hint="eastAsia" w:ascii="仿宋" w:hAnsi="仿宋" w:eastAsia="仿宋" w:cs="仿宋"/>
          <w:sz w:val="30"/>
          <w:szCs w:val="30"/>
        </w:rPr>
        <w:tab/>
      </w:r>
      <w:r>
        <w:rPr>
          <w:rFonts w:hint="eastAsia" w:ascii="仿宋" w:hAnsi="仿宋" w:eastAsia="仿宋" w:cs="仿宋"/>
          <w:sz w:val="30"/>
          <w:szCs w:val="30"/>
          <w:lang w:val="en-US" w:eastAsia="zh-CN"/>
        </w:rPr>
        <w:t>5</w:t>
      </w:r>
      <w:r>
        <w:rPr>
          <w:rFonts w:hint="eastAsia" w:ascii="仿宋" w:hAnsi="仿宋" w:eastAsia="仿宋" w:cs="仿宋"/>
          <w:sz w:val="30"/>
          <w:szCs w:val="30"/>
        </w:rPr>
        <w:fldChar w:fldCharType="end"/>
      </w:r>
    </w:p>
    <w:p>
      <w:pPr>
        <w:pStyle w:val="8"/>
        <w:tabs>
          <w:tab w:val="right" w:leader="dot" w:pos="8306"/>
        </w:tabs>
        <w:ind w:left="0" w:leftChars="0"/>
        <w:rPr>
          <w:rFonts w:hint="eastAsia" w:ascii="仿宋" w:hAnsi="仿宋" w:eastAsia="仿宋" w:cs="仿宋"/>
          <w:sz w:val="30"/>
          <w:szCs w:val="30"/>
          <w:lang w:eastAsia="zh-CN"/>
        </w:rPr>
      </w:pPr>
      <w:r>
        <w:fldChar w:fldCharType="begin"/>
      </w:r>
      <w:r>
        <w:instrText xml:space="preserve"> HYPERLINK \l "_Toc21310_WPSOffice_Level2" </w:instrText>
      </w:r>
      <w:r>
        <w:fldChar w:fldCharType="separate"/>
      </w:r>
      <w:r>
        <w:rPr>
          <w:rFonts w:hint="eastAsia" w:ascii="仿宋" w:hAnsi="仿宋" w:eastAsia="仿宋" w:cs="仿宋"/>
          <w:sz w:val="30"/>
          <w:szCs w:val="30"/>
        </w:rPr>
        <w:t>十、政府性基金预算财政拨款“三公”经费支出决算公开表</w:t>
      </w:r>
      <w:r>
        <w:rPr>
          <w:rFonts w:hint="eastAsia" w:ascii="仿宋" w:hAnsi="仿宋" w:eastAsia="仿宋" w:cs="仿宋"/>
          <w:sz w:val="30"/>
          <w:szCs w:val="30"/>
        </w:rPr>
        <w:tab/>
      </w:r>
      <w:r>
        <w:rPr>
          <w:rFonts w:hint="eastAsia" w:ascii="仿宋" w:hAnsi="仿宋" w:eastAsia="仿宋" w:cs="仿宋"/>
          <w:sz w:val="30"/>
          <w:szCs w:val="30"/>
        </w:rPr>
        <w:fldChar w:fldCharType="end"/>
      </w:r>
      <w:r>
        <w:rPr>
          <w:rFonts w:hint="eastAsia" w:ascii="仿宋" w:hAnsi="仿宋" w:eastAsia="仿宋" w:cs="仿宋"/>
          <w:sz w:val="30"/>
          <w:szCs w:val="30"/>
          <w:lang w:val="en-US" w:eastAsia="zh-CN"/>
        </w:rPr>
        <w:t>5</w:t>
      </w:r>
    </w:p>
    <w:p>
      <w:pPr>
        <w:pStyle w:val="8"/>
        <w:tabs>
          <w:tab w:val="right" w:leader="dot" w:pos="8306"/>
        </w:tabs>
        <w:ind w:left="0" w:leftChars="0"/>
        <w:rPr>
          <w:rFonts w:ascii="仿宋" w:hAnsi="仿宋" w:eastAsia="仿宋" w:cs="仿宋"/>
          <w:sz w:val="32"/>
          <w:szCs w:val="32"/>
        </w:rPr>
      </w:pPr>
      <w:r>
        <w:fldChar w:fldCharType="begin"/>
      </w:r>
      <w:r>
        <w:instrText xml:space="preserve"> HYPERLINK \l "_Toc21310_WPSOffice_Level2" </w:instrText>
      </w:r>
      <w:r>
        <w:fldChar w:fldCharType="separate"/>
      </w:r>
      <w:r>
        <w:rPr>
          <w:rFonts w:hint="eastAsia" w:ascii="仿宋" w:hAnsi="仿宋" w:eastAsia="仿宋" w:cs="仿宋"/>
          <w:sz w:val="30"/>
          <w:szCs w:val="30"/>
        </w:rPr>
        <w:t>十一、国有资本经营预算财政拨款“三公”经费支出决算公开表</w:t>
      </w:r>
      <w:r>
        <w:rPr>
          <w:rFonts w:hint="eastAsia" w:ascii="仿宋" w:hAnsi="仿宋" w:eastAsia="仿宋" w:cs="仿宋"/>
          <w:sz w:val="30"/>
          <w:szCs w:val="30"/>
        </w:rPr>
        <w:tab/>
      </w:r>
      <w:r>
        <w:rPr>
          <w:rFonts w:hint="eastAsia" w:ascii="仿宋" w:hAnsi="仿宋" w:eastAsia="仿宋" w:cs="仿宋"/>
          <w:sz w:val="30"/>
          <w:szCs w:val="30"/>
          <w:lang w:val="en-US" w:eastAsia="zh-CN"/>
        </w:rPr>
        <w:t>5</w:t>
      </w:r>
      <w:r>
        <w:rPr>
          <w:rFonts w:hint="eastAsia" w:ascii="仿宋" w:hAnsi="仿宋" w:eastAsia="仿宋" w:cs="仿宋"/>
          <w:sz w:val="30"/>
          <w:szCs w:val="30"/>
        </w:rPr>
        <w:fldChar w:fldCharType="end"/>
      </w:r>
    </w:p>
    <w:p>
      <w:pPr>
        <w:pStyle w:val="7"/>
        <w:tabs>
          <w:tab w:val="right" w:leader="dot" w:pos="8306"/>
        </w:tabs>
        <w:rPr>
          <w:rFonts w:ascii="黑体" w:hAnsi="黑体" w:eastAsia="黑体" w:cs="黑体"/>
          <w:sz w:val="30"/>
          <w:szCs w:val="30"/>
        </w:rPr>
      </w:pPr>
      <w:r>
        <w:fldChar w:fldCharType="begin"/>
      </w:r>
      <w:r>
        <w:instrText xml:space="preserve"> HYPERLINK \l "_Toc27590_WPSOffice_Level1" </w:instrText>
      </w:r>
      <w:r>
        <w:fldChar w:fldCharType="separate"/>
      </w:r>
      <w:r>
        <w:rPr>
          <w:rFonts w:hint="eastAsia" w:ascii="黑体" w:hAnsi="黑体" w:eastAsia="黑体" w:cs="黑体"/>
          <w:sz w:val="30"/>
          <w:szCs w:val="30"/>
        </w:rPr>
        <w:t>第三部分 海南经贸职业技术学院2021年度部门决算情况说</w:t>
      </w:r>
      <w:r>
        <w:rPr>
          <w:rFonts w:hint="eastAsia" w:ascii="黑体" w:hAnsi="黑体" w:eastAsia="黑体" w:cs="黑体"/>
          <w:sz w:val="30"/>
          <w:szCs w:val="30"/>
          <w:lang w:val="en-US" w:eastAsia="zh-CN"/>
        </w:rPr>
        <w:t>明6</w:t>
      </w:r>
      <w:r>
        <w:rPr>
          <w:rFonts w:hint="eastAsia" w:ascii="黑体" w:hAnsi="黑体" w:eastAsia="黑体" w:cs="黑体"/>
          <w:sz w:val="30"/>
          <w:szCs w:val="30"/>
        </w:rPr>
        <w:fldChar w:fldCharType="end"/>
      </w:r>
    </w:p>
    <w:p>
      <w:pPr>
        <w:pStyle w:val="8"/>
        <w:tabs>
          <w:tab w:val="right" w:leader="dot" w:pos="8306"/>
        </w:tabs>
        <w:ind w:left="0" w:leftChars="0"/>
        <w:rPr>
          <w:rFonts w:ascii="仿宋" w:hAnsi="仿宋" w:eastAsia="仿宋" w:cs="仿宋"/>
          <w:sz w:val="30"/>
          <w:szCs w:val="30"/>
        </w:rPr>
      </w:pPr>
      <w:r>
        <w:fldChar w:fldCharType="begin"/>
      </w:r>
      <w:r>
        <w:instrText xml:space="preserve"> HYPERLINK \l "_Toc21737_WPSOffice_Level2" </w:instrText>
      </w:r>
      <w:r>
        <w:fldChar w:fldCharType="separate"/>
      </w:r>
      <w:r>
        <w:rPr>
          <w:rFonts w:hint="eastAsia" w:ascii="仿宋" w:hAnsi="仿宋" w:eastAsia="仿宋" w:cs="仿宋"/>
          <w:bCs/>
          <w:sz w:val="30"/>
          <w:szCs w:val="30"/>
        </w:rPr>
        <w:t>一、收入支出决算总体情况说明</w:t>
      </w:r>
      <w:r>
        <w:rPr>
          <w:rFonts w:hint="eastAsia" w:ascii="仿宋" w:hAnsi="仿宋" w:eastAsia="仿宋" w:cs="仿宋"/>
          <w:sz w:val="30"/>
          <w:szCs w:val="30"/>
        </w:rPr>
        <w:tab/>
      </w:r>
      <w:r>
        <w:rPr>
          <w:rFonts w:hint="eastAsia" w:ascii="仿宋" w:hAnsi="仿宋" w:eastAsia="仿宋" w:cs="仿宋"/>
          <w:sz w:val="30"/>
          <w:szCs w:val="30"/>
          <w:lang w:val="en-US" w:eastAsia="zh-CN"/>
        </w:rPr>
        <w:t>6</w:t>
      </w:r>
      <w:r>
        <w:rPr>
          <w:rFonts w:hint="eastAsia" w:ascii="仿宋" w:hAnsi="仿宋" w:eastAsia="仿宋" w:cs="仿宋"/>
          <w:sz w:val="30"/>
          <w:szCs w:val="30"/>
        </w:rPr>
        <w:fldChar w:fldCharType="end"/>
      </w:r>
    </w:p>
    <w:p>
      <w:pPr>
        <w:pStyle w:val="8"/>
        <w:tabs>
          <w:tab w:val="right" w:leader="dot" w:pos="8306"/>
        </w:tabs>
        <w:ind w:left="0" w:leftChars="0"/>
        <w:rPr>
          <w:rFonts w:ascii="仿宋" w:hAnsi="仿宋" w:eastAsia="仿宋" w:cs="仿宋"/>
          <w:sz w:val="30"/>
          <w:szCs w:val="30"/>
        </w:rPr>
      </w:pPr>
      <w:r>
        <w:fldChar w:fldCharType="begin"/>
      </w:r>
      <w:r>
        <w:instrText xml:space="preserve"> HYPERLINK \l "_Toc19535_WPSOffice_Level2" </w:instrText>
      </w:r>
      <w:r>
        <w:fldChar w:fldCharType="separate"/>
      </w:r>
      <w:r>
        <w:rPr>
          <w:rFonts w:hint="eastAsia" w:ascii="仿宋" w:hAnsi="仿宋" w:eastAsia="仿宋" w:cs="仿宋"/>
          <w:bCs/>
          <w:sz w:val="30"/>
          <w:szCs w:val="30"/>
        </w:rPr>
        <w:t>二、收入决算情况说明</w:t>
      </w:r>
      <w:r>
        <w:rPr>
          <w:rFonts w:hint="eastAsia" w:ascii="仿宋" w:hAnsi="仿宋" w:eastAsia="仿宋" w:cs="仿宋"/>
          <w:sz w:val="30"/>
          <w:szCs w:val="30"/>
        </w:rPr>
        <w:tab/>
      </w:r>
      <w:r>
        <w:rPr>
          <w:rFonts w:hint="eastAsia" w:ascii="仿宋" w:hAnsi="仿宋" w:eastAsia="仿宋" w:cs="仿宋"/>
          <w:sz w:val="30"/>
          <w:szCs w:val="30"/>
          <w:lang w:val="en-US" w:eastAsia="zh-CN"/>
        </w:rPr>
        <w:t>7</w:t>
      </w:r>
      <w:r>
        <w:rPr>
          <w:rFonts w:hint="eastAsia" w:ascii="仿宋" w:hAnsi="仿宋" w:eastAsia="仿宋" w:cs="仿宋"/>
          <w:sz w:val="30"/>
          <w:szCs w:val="30"/>
        </w:rPr>
        <w:fldChar w:fldCharType="end"/>
      </w:r>
    </w:p>
    <w:p>
      <w:pPr>
        <w:pStyle w:val="8"/>
        <w:tabs>
          <w:tab w:val="right" w:leader="dot" w:pos="8306"/>
        </w:tabs>
        <w:ind w:left="0" w:leftChars="0"/>
        <w:rPr>
          <w:rFonts w:ascii="仿宋" w:hAnsi="仿宋" w:eastAsia="仿宋" w:cs="仿宋"/>
          <w:sz w:val="30"/>
          <w:szCs w:val="30"/>
        </w:rPr>
      </w:pPr>
      <w:r>
        <w:fldChar w:fldCharType="begin"/>
      </w:r>
      <w:r>
        <w:instrText xml:space="preserve"> HYPERLINK \l "_Toc19535_WPSOffice_Level2" </w:instrText>
      </w:r>
      <w:r>
        <w:fldChar w:fldCharType="separate"/>
      </w:r>
      <w:r>
        <w:rPr>
          <w:rFonts w:hint="eastAsia" w:ascii="仿宋" w:hAnsi="仿宋" w:eastAsia="仿宋" w:cs="仿宋"/>
          <w:bCs/>
          <w:sz w:val="30"/>
          <w:szCs w:val="30"/>
        </w:rPr>
        <w:t>三、支出决算情况说明</w:t>
      </w:r>
      <w:r>
        <w:rPr>
          <w:rFonts w:hint="eastAsia" w:ascii="仿宋" w:hAnsi="仿宋" w:eastAsia="仿宋" w:cs="仿宋"/>
          <w:sz w:val="30"/>
          <w:szCs w:val="30"/>
        </w:rPr>
        <w:tab/>
      </w:r>
      <w:r>
        <w:rPr>
          <w:rFonts w:hint="eastAsia" w:ascii="仿宋" w:hAnsi="仿宋" w:eastAsia="仿宋" w:cs="仿宋"/>
          <w:sz w:val="30"/>
          <w:szCs w:val="30"/>
          <w:lang w:val="en-US" w:eastAsia="zh-CN"/>
        </w:rPr>
        <w:t>7</w:t>
      </w:r>
      <w:r>
        <w:rPr>
          <w:rFonts w:hint="eastAsia" w:ascii="仿宋" w:hAnsi="仿宋" w:eastAsia="仿宋" w:cs="仿宋"/>
          <w:sz w:val="30"/>
          <w:szCs w:val="30"/>
        </w:rPr>
        <w:fldChar w:fldCharType="end"/>
      </w:r>
    </w:p>
    <w:p>
      <w:pPr>
        <w:pStyle w:val="8"/>
        <w:tabs>
          <w:tab w:val="right" w:leader="dot" w:pos="8306"/>
        </w:tabs>
        <w:ind w:left="0" w:leftChars="0"/>
        <w:rPr>
          <w:rFonts w:ascii="仿宋" w:hAnsi="仿宋" w:eastAsia="仿宋" w:cs="仿宋"/>
          <w:sz w:val="30"/>
          <w:szCs w:val="30"/>
        </w:rPr>
      </w:pPr>
      <w:r>
        <w:fldChar w:fldCharType="begin"/>
      </w:r>
      <w:r>
        <w:instrText xml:space="preserve"> HYPERLINK \l "_Toc19535_WPSOffice_Level2" </w:instrText>
      </w:r>
      <w:r>
        <w:fldChar w:fldCharType="separate"/>
      </w:r>
      <w:r>
        <w:rPr>
          <w:rFonts w:hint="eastAsia" w:ascii="仿宋" w:hAnsi="仿宋" w:eastAsia="仿宋" w:cs="仿宋"/>
          <w:bCs/>
          <w:sz w:val="30"/>
          <w:szCs w:val="30"/>
        </w:rPr>
        <w:t>四、财政拨款收入支出决算情况说明</w:t>
      </w:r>
      <w:r>
        <w:rPr>
          <w:rFonts w:hint="eastAsia" w:ascii="仿宋" w:hAnsi="仿宋" w:eastAsia="仿宋" w:cs="仿宋"/>
          <w:sz w:val="30"/>
          <w:szCs w:val="30"/>
        </w:rPr>
        <w:tab/>
      </w:r>
      <w:r>
        <w:rPr>
          <w:rFonts w:hint="eastAsia" w:ascii="仿宋" w:hAnsi="仿宋" w:eastAsia="仿宋" w:cs="仿宋"/>
          <w:sz w:val="30"/>
          <w:szCs w:val="30"/>
          <w:lang w:val="en-US" w:eastAsia="zh-CN"/>
        </w:rPr>
        <w:t>8</w:t>
      </w:r>
      <w:r>
        <w:rPr>
          <w:rFonts w:hint="eastAsia" w:ascii="仿宋" w:hAnsi="仿宋" w:eastAsia="仿宋" w:cs="仿宋"/>
          <w:sz w:val="30"/>
          <w:szCs w:val="30"/>
        </w:rPr>
        <w:fldChar w:fldCharType="end"/>
      </w:r>
    </w:p>
    <w:p>
      <w:pPr>
        <w:pStyle w:val="8"/>
        <w:tabs>
          <w:tab w:val="right" w:leader="dot" w:pos="8306"/>
        </w:tabs>
        <w:ind w:left="0" w:leftChars="0"/>
        <w:rPr>
          <w:rFonts w:ascii="仿宋" w:hAnsi="仿宋" w:eastAsia="仿宋" w:cs="仿宋"/>
          <w:sz w:val="30"/>
          <w:szCs w:val="30"/>
        </w:rPr>
      </w:pPr>
      <w:r>
        <w:fldChar w:fldCharType="begin"/>
      </w:r>
      <w:r>
        <w:instrText xml:space="preserve"> HYPERLINK \l "_Toc19535_WPSOffice_Level2" </w:instrText>
      </w:r>
      <w:r>
        <w:fldChar w:fldCharType="separate"/>
      </w:r>
      <w:r>
        <w:rPr>
          <w:rFonts w:hint="eastAsia" w:ascii="仿宋" w:hAnsi="仿宋" w:eastAsia="仿宋" w:cs="仿宋"/>
          <w:bCs/>
          <w:sz w:val="30"/>
          <w:szCs w:val="30"/>
        </w:rPr>
        <w:t>五、一般公共预算财政拨款支出决算情况说明</w:t>
      </w:r>
      <w:r>
        <w:rPr>
          <w:rFonts w:hint="eastAsia" w:ascii="仿宋" w:hAnsi="仿宋" w:eastAsia="仿宋" w:cs="仿宋"/>
          <w:sz w:val="30"/>
          <w:szCs w:val="30"/>
        </w:rPr>
        <w:tab/>
      </w:r>
      <w:r>
        <w:rPr>
          <w:rFonts w:hint="eastAsia" w:ascii="仿宋" w:hAnsi="仿宋" w:eastAsia="仿宋" w:cs="仿宋"/>
          <w:sz w:val="30"/>
          <w:szCs w:val="30"/>
          <w:lang w:val="en-US" w:eastAsia="zh-CN"/>
        </w:rPr>
        <w:t>9</w:t>
      </w:r>
      <w:r>
        <w:rPr>
          <w:rFonts w:hint="eastAsia" w:ascii="仿宋" w:hAnsi="仿宋" w:eastAsia="仿宋" w:cs="仿宋"/>
          <w:sz w:val="30"/>
          <w:szCs w:val="30"/>
        </w:rPr>
        <w:fldChar w:fldCharType="end"/>
      </w:r>
    </w:p>
    <w:p>
      <w:pPr>
        <w:pStyle w:val="8"/>
        <w:tabs>
          <w:tab w:val="right" w:leader="dot" w:pos="8306"/>
        </w:tabs>
        <w:ind w:left="0" w:leftChars="0"/>
        <w:rPr>
          <w:rFonts w:hint="default" w:ascii="仿宋" w:hAnsi="仿宋" w:eastAsia="仿宋" w:cs="仿宋"/>
          <w:sz w:val="30"/>
          <w:szCs w:val="30"/>
          <w:lang w:val="en-US" w:eastAsia="zh-CN"/>
        </w:rPr>
      </w:pPr>
      <w:r>
        <w:fldChar w:fldCharType="begin"/>
      </w:r>
      <w:r>
        <w:instrText xml:space="preserve"> HYPERLINK \l "_Toc19535_WPSOffice_Level2" </w:instrText>
      </w:r>
      <w:r>
        <w:fldChar w:fldCharType="separate"/>
      </w:r>
      <w:r>
        <w:rPr>
          <w:rFonts w:hint="eastAsia" w:ascii="仿宋" w:hAnsi="仿宋" w:eastAsia="仿宋" w:cs="仿宋"/>
          <w:bCs/>
          <w:sz w:val="30"/>
          <w:szCs w:val="30"/>
        </w:rPr>
        <w:t>六、一般公共预算财政拨款基本支出决算情况说明</w:t>
      </w:r>
      <w:r>
        <w:rPr>
          <w:rFonts w:hint="eastAsia" w:ascii="仿宋" w:hAnsi="仿宋" w:eastAsia="仿宋" w:cs="仿宋"/>
          <w:bCs/>
          <w:sz w:val="30"/>
          <w:szCs w:val="30"/>
        </w:rPr>
        <w:fldChar w:fldCharType="end"/>
      </w:r>
      <w:r>
        <w:rPr>
          <w:rFonts w:hint="eastAsia" w:ascii="仿宋" w:hAnsi="仿宋" w:eastAsia="仿宋" w:cs="仿宋"/>
          <w:sz w:val="30"/>
          <w:szCs w:val="30"/>
        </w:rPr>
        <w:tab/>
      </w:r>
      <w:r>
        <w:rPr>
          <w:rFonts w:hint="eastAsia" w:ascii="仿宋" w:hAnsi="仿宋" w:eastAsia="仿宋" w:cs="仿宋"/>
          <w:sz w:val="30"/>
          <w:szCs w:val="30"/>
          <w:lang w:val="en-US" w:eastAsia="zh-CN"/>
        </w:rPr>
        <w:t>11</w:t>
      </w:r>
    </w:p>
    <w:p>
      <w:pPr>
        <w:pStyle w:val="8"/>
        <w:numPr>
          <w:ilvl w:val="0"/>
          <w:numId w:val="1"/>
        </w:numPr>
        <w:tabs>
          <w:tab w:val="right" w:leader="dot" w:pos="8306"/>
        </w:tabs>
        <w:ind w:left="0" w:leftChars="0"/>
        <w:rPr>
          <w:rFonts w:ascii="仿宋" w:hAnsi="仿宋" w:eastAsia="仿宋" w:cs="仿宋"/>
          <w:sz w:val="30"/>
          <w:szCs w:val="30"/>
        </w:rPr>
      </w:pPr>
      <w:r>
        <w:rPr>
          <w:rFonts w:hint="eastAsia" w:ascii="仿宋" w:hAnsi="仿宋" w:eastAsia="仿宋" w:cs="仿宋"/>
          <w:bCs/>
          <w:sz w:val="30"/>
          <w:szCs w:val="30"/>
        </w:rPr>
        <w:t>政府性基金预算财政拨款收入支出决算情况说明</w:t>
      </w:r>
      <w:r>
        <w:rPr>
          <w:rFonts w:hint="eastAsia" w:ascii="仿宋" w:hAnsi="仿宋" w:eastAsia="仿宋" w:cs="仿宋"/>
          <w:sz w:val="30"/>
          <w:szCs w:val="30"/>
        </w:rPr>
        <w:tab/>
      </w:r>
      <w:r>
        <w:rPr>
          <w:rFonts w:hint="eastAsia" w:ascii="仿宋" w:hAnsi="仿宋" w:eastAsia="仿宋" w:cs="仿宋"/>
          <w:sz w:val="30"/>
          <w:szCs w:val="30"/>
          <w:lang w:val="en-US" w:eastAsia="zh-CN"/>
        </w:rPr>
        <w:t>12</w:t>
      </w:r>
    </w:p>
    <w:p>
      <w:pPr>
        <w:pStyle w:val="8"/>
        <w:numPr>
          <w:ilvl w:val="0"/>
          <w:numId w:val="1"/>
        </w:numPr>
        <w:tabs>
          <w:tab w:val="right" w:leader="dot" w:pos="8306"/>
        </w:tabs>
        <w:ind w:left="0" w:leftChars="0"/>
        <w:rPr>
          <w:rFonts w:ascii="仿宋" w:hAnsi="仿宋" w:eastAsia="仿宋" w:cs="仿宋"/>
          <w:sz w:val="30"/>
          <w:szCs w:val="30"/>
        </w:rPr>
      </w:pPr>
      <w:r>
        <w:rPr>
          <w:rFonts w:hint="eastAsia" w:ascii="仿宋" w:hAnsi="仿宋" w:eastAsia="仿宋" w:cs="仿宋"/>
          <w:bCs/>
          <w:sz w:val="30"/>
          <w:szCs w:val="30"/>
        </w:rPr>
        <w:t>国有资本经营预算财政拨款收入支出决算情况说明</w:t>
      </w:r>
      <w:r>
        <w:rPr>
          <w:rFonts w:hint="eastAsia" w:ascii="仿宋" w:hAnsi="仿宋" w:eastAsia="仿宋" w:cs="仿宋"/>
          <w:sz w:val="30"/>
          <w:szCs w:val="30"/>
        </w:rPr>
        <w:tab/>
      </w:r>
      <w:r>
        <w:rPr>
          <w:rFonts w:hint="eastAsia" w:ascii="仿宋" w:hAnsi="仿宋" w:eastAsia="仿宋" w:cs="仿宋"/>
          <w:sz w:val="30"/>
          <w:szCs w:val="30"/>
          <w:lang w:val="en-US" w:eastAsia="zh-CN"/>
        </w:rPr>
        <w:t>12</w:t>
      </w:r>
    </w:p>
    <w:p>
      <w:pPr>
        <w:rPr>
          <w:rFonts w:ascii="仿宋" w:hAnsi="仿宋" w:eastAsia="仿宋" w:cs="仿宋"/>
          <w:w w:val="98"/>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_Toc5978_WPSOffice_Level2 </w:instrText>
      </w:r>
      <w:r>
        <w:rPr>
          <w:rFonts w:hint="eastAsia" w:ascii="仿宋" w:hAnsi="仿宋" w:eastAsia="仿宋" w:cs="仿宋"/>
          <w:sz w:val="30"/>
          <w:szCs w:val="30"/>
        </w:rPr>
        <w:fldChar w:fldCharType="separate"/>
      </w:r>
      <w:r>
        <w:rPr>
          <w:rFonts w:hint="eastAsia" w:ascii="仿宋" w:hAnsi="仿宋" w:eastAsia="仿宋" w:cs="仿宋"/>
          <w:bCs/>
          <w:sz w:val="30"/>
          <w:szCs w:val="30"/>
        </w:rPr>
        <w:t>九、</w:t>
      </w:r>
      <w:r>
        <w:rPr>
          <w:rFonts w:hint="eastAsia" w:ascii="仿宋" w:hAnsi="仿宋" w:eastAsia="仿宋" w:cs="仿宋"/>
          <w:bCs/>
          <w:w w:val="98"/>
          <w:sz w:val="30"/>
          <w:szCs w:val="30"/>
        </w:rPr>
        <w:t>一般公共预算财政拨款“三公”经费支出决算情况说明</w:t>
      </w:r>
    </w:p>
    <w:p>
      <w:pPr>
        <w:pStyle w:val="8"/>
        <w:tabs>
          <w:tab w:val="right" w:leader="dot" w:pos="8306"/>
        </w:tabs>
        <w:ind w:left="0" w:leftChars="0"/>
        <w:rPr>
          <w:rFonts w:hint="default" w:ascii="仿宋" w:hAnsi="仿宋" w:eastAsia="仿宋" w:cs="仿宋"/>
          <w:sz w:val="30"/>
          <w:szCs w:val="30"/>
          <w:lang w:val="en-US" w:eastAsia="zh-CN"/>
        </w:rPr>
      </w:pPr>
      <w:r>
        <w:rPr>
          <w:rFonts w:hint="eastAsia" w:ascii="仿宋" w:hAnsi="仿宋" w:eastAsia="仿宋" w:cs="仿宋"/>
          <w:sz w:val="30"/>
          <w:szCs w:val="30"/>
        </w:rPr>
        <w:tab/>
      </w:r>
      <w:r>
        <w:rPr>
          <w:rFonts w:hint="eastAsia" w:ascii="仿宋" w:hAnsi="仿宋" w:eastAsia="仿宋" w:cs="仿宋"/>
          <w:sz w:val="30"/>
          <w:szCs w:val="30"/>
        </w:rPr>
        <w:fldChar w:fldCharType="end"/>
      </w:r>
      <w:r>
        <w:rPr>
          <w:rFonts w:hint="eastAsia" w:ascii="仿宋" w:hAnsi="仿宋" w:eastAsia="仿宋" w:cs="仿宋"/>
          <w:sz w:val="30"/>
          <w:szCs w:val="30"/>
          <w:lang w:val="en-US" w:eastAsia="zh-CN"/>
        </w:rPr>
        <w:t>12</w:t>
      </w:r>
    </w:p>
    <w:p>
      <w:pPr>
        <w:rPr>
          <w:rFonts w:ascii="仿宋" w:hAnsi="仿宋" w:eastAsia="仿宋" w:cs="仿宋"/>
          <w:w w:val="98"/>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_Toc5978_WPSOffice_Level2 </w:instrText>
      </w:r>
      <w:r>
        <w:rPr>
          <w:rFonts w:hint="eastAsia" w:ascii="仿宋" w:hAnsi="仿宋" w:eastAsia="仿宋" w:cs="仿宋"/>
          <w:sz w:val="30"/>
          <w:szCs w:val="30"/>
        </w:rPr>
        <w:fldChar w:fldCharType="separate"/>
      </w:r>
      <w:r>
        <w:rPr>
          <w:rFonts w:hint="eastAsia" w:ascii="仿宋" w:hAnsi="仿宋" w:eastAsia="仿宋" w:cs="仿宋"/>
          <w:bCs/>
          <w:sz w:val="30"/>
          <w:szCs w:val="30"/>
        </w:rPr>
        <w:t>十、</w:t>
      </w:r>
      <w:r>
        <w:rPr>
          <w:rFonts w:hint="eastAsia" w:ascii="仿宋" w:hAnsi="仿宋" w:eastAsia="仿宋" w:cs="仿宋"/>
          <w:bCs/>
          <w:w w:val="98"/>
          <w:sz w:val="30"/>
          <w:szCs w:val="30"/>
        </w:rPr>
        <w:t>政府性基金预算财政拨款“三公”经费支出决算情况说明</w:t>
      </w:r>
    </w:p>
    <w:p>
      <w:pPr>
        <w:pStyle w:val="8"/>
        <w:tabs>
          <w:tab w:val="right" w:leader="dot" w:pos="8306"/>
        </w:tabs>
        <w:ind w:left="0" w:leftChars="0"/>
        <w:rPr>
          <w:rFonts w:hint="eastAsia" w:ascii="仿宋" w:hAnsi="仿宋" w:eastAsia="仿宋" w:cs="仿宋"/>
          <w:sz w:val="30"/>
          <w:szCs w:val="30"/>
          <w:lang w:eastAsia="zh-CN"/>
        </w:rPr>
      </w:pPr>
      <w:r>
        <w:rPr>
          <w:rFonts w:hint="eastAsia" w:ascii="仿宋" w:hAnsi="仿宋" w:eastAsia="仿宋" w:cs="仿宋"/>
          <w:sz w:val="30"/>
          <w:szCs w:val="30"/>
        </w:rPr>
        <w:tab/>
      </w:r>
      <w:r>
        <w:rPr>
          <w:rFonts w:hint="eastAsia" w:ascii="仿宋" w:hAnsi="仿宋" w:eastAsia="仿宋" w:cs="仿宋"/>
          <w:sz w:val="30"/>
          <w:szCs w:val="30"/>
        </w:rPr>
        <w:fldChar w:fldCharType="end"/>
      </w:r>
      <w:r>
        <w:rPr>
          <w:rFonts w:hint="eastAsia" w:ascii="仿宋" w:hAnsi="仿宋" w:eastAsia="仿宋" w:cs="仿宋"/>
          <w:sz w:val="30"/>
          <w:szCs w:val="30"/>
        </w:rPr>
        <w:t>1</w:t>
      </w:r>
      <w:r>
        <w:rPr>
          <w:rFonts w:hint="eastAsia" w:ascii="仿宋" w:hAnsi="仿宋" w:eastAsia="仿宋" w:cs="仿宋"/>
          <w:sz w:val="30"/>
          <w:szCs w:val="30"/>
          <w:lang w:val="en-US" w:eastAsia="zh-CN"/>
        </w:rPr>
        <w:t>4</w:t>
      </w:r>
    </w:p>
    <w:p>
      <w:pPr>
        <w:rPr>
          <w:rFonts w:ascii="仿宋" w:hAnsi="仿宋" w:eastAsia="仿宋" w:cs="仿宋"/>
          <w:w w:val="91"/>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_Toc5978_WPSOffice_Level2 </w:instrText>
      </w:r>
      <w:r>
        <w:rPr>
          <w:rFonts w:hint="eastAsia" w:ascii="仿宋" w:hAnsi="仿宋" w:eastAsia="仿宋" w:cs="仿宋"/>
          <w:sz w:val="30"/>
          <w:szCs w:val="30"/>
        </w:rPr>
        <w:fldChar w:fldCharType="separate"/>
      </w:r>
      <w:r>
        <w:rPr>
          <w:rFonts w:hint="eastAsia" w:ascii="仿宋" w:hAnsi="仿宋" w:eastAsia="仿宋" w:cs="仿宋"/>
          <w:bCs/>
          <w:w w:val="91"/>
          <w:sz w:val="30"/>
          <w:szCs w:val="30"/>
        </w:rPr>
        <w:t>十一、国有资本经营预算财政拨款“三公”经费支出决算情况说明</w:t>
      </w:r>
    </w:p>
    <w:p>
      <w:pPr>
        <w:pStyle w:val="8"/>
        <w:tabs>
          <w:tab w:val="right" w:leader="dot" w:pos="8306"/>
        </w:tabs>
        <w:ind w:left="0" w:leftChars="0"/>
        <w:rPr>
          <w:rFonts w:hint="eastAsia" w:ascii="仿宋" w:hAnsi="仿宋" w:eastAsia="仿宋" w:cs="仿宋"/>
          <w:sz w:val="30"/>
          <w:szCs w:val="30"/>
          <w:lang w:eastAsia="zh-CN"/>
        </w:rPr>
      </w:pPr>
      <w:r>
        <w:rPr>
          <w:rFonts w:hint="eastAsia" w:ascii="仿宋" w:hAnsi="仿宋" w:eastAsia="仿宋" w:cs="仿宋"/>
          <w:sz w:val="30"/>
          <w:szCs w:val="30"/>
        </w:rPr>
        <w:tab/>
      </w:r>
      <w:r>
        <w:rPr>
          <w:rFonts w:hint="eastAsia" w:ascii="仿宋" w:hAnsi="仿宋" w:eastAsia="仿宋" w:cs="仿宋"/>
          <w:sz w:val="30"/>
          <w:szCs w:val="30"/>
        </w:rPr>
        <w:fldChar w:fldCharType="end"/>
      </w:r>
      <w:r>
        <w:rPr>
          <w:rFonts w:hint="eastAsia" w:ascii="仿宋" w:hAnsi="仿宋" w:eastAsia="仿宋" w:cs="仿宋"/>
          <w:sz w:val="30"/>
          <w:szCs w:val="30"/>
        </w:rPr>
        <w:t>1</w:t>
      </w:r>
      <w:r>
        <w:rPr>
          <w:rFonts w:hint="eastAsia" w:ascii="仿宋" w:hAnsi="仿宋" w:eastAsia="仿宋" w:cs="仿宋"/>
          <w:sz w:val="30"/>
          <w:szCs w:val="30"/>
          <w:lang w:val="en-US" w:eastAsia="zh-CN"/>
        </w:rPr>
        <w:t>4</w:t>
      </w:r>
    </w:p>
    <w:p>
      <w:pPr>
        <w:pStyle w:val="8"/>
        <w:tabs>
          <w:tab w:val="right" w:leader="dot" w:pos="8306"/>
        </w:tabs>
        <w:ind w:left="0" w:leftChars="0"/>
        <w:rPr>
          <w:rFonts w:hint="eastAsia" w:ascii="仿宋" w:hAnsi="仿宋" w:eastAsia="仿宋" w:cs="仿宋"/>
          <w:sz w:val="30"/>
          <w:szCs w:val="30"/>
          <w:lang w:eastAsia="zh-CN"/>
        </w:rPr>
      </w:pPr>
      <w:r>
        <w:fldChar w:fldCharType="begin"/>
      </w:r>
      <w:r>
        <w:instrText xml:space="preserve"> HYPERLINK \l "_Toc19535_WPSOffice_Level2" </w:instrText>
      </w:r>
      <w:r>
        <w:fldChar w:fldCharType="separate"/>
      </w:r>
      <w:r>
        <w:rPr>
          <w:rFonts w:hint="eastAsia" w:ascii="仿宋" w:hAnsi="仿宋" w:eastAsia="仿宋" w:cs="仿宋"/>
          <w:bCs/>
          <w:sz w:val="30"/>
          <w:szCs w:val="30"/>
        </w:rPr>
        <w:t>十二、预算绩效情况说明</w:t>
      </w:r>
      <w:r>
        <w:rPr>
          <w:rFonts w:hint="eastAsia" w:ascii="仿宋" w:hAnsi="仿宋" w:eastAsia="仿宋" w:cs="仿宋"/>
          <w:sz w:val="30"/>
          <w:szCs w:val="30"/>
        </w:rPr>
        <w:tab/>
      </w:r>
      <w:r>
        <w:rPr>
          <w:rFonts w:hint="eastAsia" w:ascii="仿宋" w:hAnsi="仿宋" w:eastAsia="仿宋" w:cs="仿宋"/>
          <w:sz w:val="30"/>
          <w:szCs w:val="30"/>
        </w:rPr>
        <w:fldChar w:fldCharType="end"/>
      </w:r>
      <w:r>
        <w:rPr>
          <w:rFonts w:hint="eastAsia" w:ascii="仿宋" w:hAnsi="仿宋" w:eastAsia="仿宋" w:cs="仿宋"/>
          <w:sz w:val="30"/>
          <w:szCs w:val="30"/>
        </w:rPr>
        <w:t>1</w:t>
      </w:r>
      <w:r>
        <w:rPr>
          <w:rFonts w:hint="eastAsia" w:ascii="仿宋" w:hAnsi="仿宋" w:eastAsia="仿宋" w:cs="仿宋"/>
          <w:sz w:val="30"/>
          <w:szCs w:val="30"/>
          <w:lang w:val="en-US" w:eastAsia="zh-CN"/>
        </w:rPr>
        <w:t>4</w:t>
      </w:r>
    </w:p>
    <w:p>
      <w:pPr>
        <w:pStyle w:val="8"/>
        <w:tabs>
          <w:tab w:val="right" w:leader="dot" w:pos="8306"/>
        </w:tabs>
        <w:ind w:left="0" w:leftChars="0"/>
        <w:rPr>
          <w:rFonts w:hint="eastAsia" w:ascii="仿宋" w:hAnsi="仿宋" w:eastAsia="仿宋" w:cs="仿宋"/>
          <w:sz w:val="30"/>
          <w:szCs w:val="30"/>
          <w:lang w:eastAsia="zh-CN"/>
        </w:rPr>
      </w:pPr>
      <w:r>
        <w:rPr>
          <w:rFonts w:hint="eastAsia" w:ascii="仿宋" w:hAnsi="仿宋" w:eastAsia="仿宋" w:cs="仿宋"/>
          <w:bCs/>
          <w:sz w:val="30"/>
          <w:szCs w:val="30"/>
        </w:rPr>
        <w:t>十三、其他重要事项情况说明</w:t>
      </w:r>
      <w:r>
        <w:rPr>
          <w:rFonts w:hint="eastAsia" w:ascii="仿宋" w:hAnsi="仿宋" w:eastAsia="仿宋" w:cs="仿宋"/>
          <w:sz w:val="30"/>
          <w:szCs w:val="30"/>
        </w:rPr>
        <w:tab/>
      </w:r>
      <w:r>
        <w:rPr>
          <w:rFonts w:hint="eastAsia" w:ascii="仿宋" w:hAnsi="仿宋" w:eastAsia="仿宋" w:cs="仿宋"/>
          <w:sz w:val="30"/>
          <w:szCs w:val="30"/>
        </w:rPr>
        <w:t>1</w:t>
      </w:r>
      <w:r>
        <w:rPr>
          <w:rFonts w:hint="eastAsia" w:ascii="仿宋" w:hAnsi="仿宋" w:eastAsia="仿宋" w:cs="仿宋"/>
          <w:sz w:val="30"/>
          <w:szCs w:val="30"/>
          <w:lang w:val="en-US" w:eastAsia="zh-CN"/>
        </w:rPr>
        <w:t>8</w:t>
      </w:r>
    </w:p>
    <w:p>
      <w:pPr>
        <w:pStyle w:val="7"/>
        <w:tabs>
          <w:tab w:val="right" w:leader="dot" w:pos="8306"/>
        </w:tabs>
        <w:rPr>
          <w:rFonts w:hint="eastAsia" w:ascii="黑体" w:hAnsi="黑体" w:eastAsia="黑体" w:cs="黑体"/>
          <w:sz w:val="30"/>
          <w:szCs w:val="30"/>
          <w:lang w:val="en-US" w:eastAsia="zh-CN"/>
        </w:rPr>
      </w:pPr>
      <w:r>
        <w:fldChar w:fldCharType="begin"/>
      </w:r>
      <w:r>
        <w:instrText xml:space="preserve"> HYPERLINK \l "_Toc15425_WPSOffice_Level1" </w:instrText>
      </w:r>
      <w:r>
        <w:fldChar w:fldCharType="separate"/>
      </w:r>
      <w:r>
        <w:rPr>
          <w:rFonts w:hint="eastAsia" w:ascii="黑体" w:hAnsi="黑体" w:eastAsia="黑体" w:cs="黑体"/>
          <w:sz w:val="30"/>
          <w:szCs w:val="30"/>
        </w:rPr>
        <w:t>第四部分  名词解释</w:t>
      </w:r>
      <w:r>
        <w:rPr>
          <w:rFonts w:hint="eastAsia" w:ascii="黑体" w:hAnsi="黑体" w:eastAsia="黑体" w:cs="黑体"/>
          <w:sz w:val="30"/>
          <w:szCs w:val="30"/>
        </w:rPr>
        <w:tab/>
      </w:r>
      <w:r>
        <w:rPr>
          <w:rFonts w:hint="eastAsia" w:ascii="黑体" w:hAnsi="黑体" w:eastAsia="黑体" w:cs="黑体"/>
          <w:sz w:val="30"/>
          <w:szCs w:val="30"/>
          <w:lang w:val="en-US" w:eastAsia="zh-CN"/>
        </w:rPr>
        <w:t>2</w:t>
      </w:r>
      <w:r>
        <w:rPr>
          <w:rFonts w:hint="eastAsia" w:ascii="黑体" w:hAnsi="黑体" w:eastAsia="黑体" w:cs="黑体"/>
          <w:sz w:val="30"/>
          <w:szCs w:val="30"/>
        </w:rPr>
        <w:fldChar w:fldCharType="end"/>
      </w:r>
      <w:bookmarkEnd w:id="0"/>
      <w:r>
        <w:rPr>
          <w:rFonts w:hint="eastAsia" w:ascii="黑体" w:hAnsi="黑体" w:eastAsia="黑体" w:cs="黑体"/>
          <w:sz w:val="30"/>
          <w:szCs w:val="30"/>
          <w:lang w:val="en-US" w:eastAsia="zh-CN"/>
        </w:rPr>
        <w:t>0</w:t>
      </w:r>
    </w:p>
    <w:p>
      <w:pPr>
        <w:jc w:val="left"/>
        <w:rPr>
          <w:rFonts w:ascii="黑体" w:hAnsi="黑体" w:eastAsia="黑体" w:cs="黑体"/>
          <w:sz w:val="32"/>
          <w:szCs w:val="32"/>
        </w:rPr>
      </w:pPr>
    </w:p>
    <w:p>
      <w:pPr>
        <w:rPr>
          <w:rFonts w:ascii="黑体" w:hAnsi="ˎ̥" w:eastAsia="黑体"/>
          <w:sz w:val="32"/>
          <w:szCs w:val="32"/>
        </w:rPr>
      </w:pPr>
      <w:bookmarkStart w:id="1" w:name="_Toc23465_WPSOffice_Level1"/>
      <w:bookmarkStart w:id="2" w:name="_Toc22941_WPSOffice_Level1"/>
      <w:bookmarkStart w:id="3" w:name="_Toc1704_WPSOffice_Level1"/>
      <w:bookmarkStart w:id="4" w:name="_Toc32433_WPSOffice_Level1"/>
      <w:bookmarkStart w:id="5" w:name="_Toc10720_WPSOffice_Level1"/>
      <w:bookmarkStart w:id="6" w:name="_Toc10049_WPSOffice_Level1"/>
      <w:bookmarkStart w:id="7" w:name="_Toc24238_WPSOffice_Level2"/>
      <w:bookmarkStart w:id="8" w:name="_Toc20274_WPSOffice_Level2"/>
      <w:bookmarkStart w:id="9" w:name="_Toc32622_WPSOffice_Level2"/>
      <w:bookmarkStart w:id="10" w:name="_Toc20205_WPSOffice_Level2"/>
      <w:bookmarkStart w:id="11" w:name="_Toc26580_WPSOffice_Level2"/>
      <w:bookmarkStart w:id="12" w:name="_Toc14159_WPSOffice_Level2"/>
    </w:p>
    <w:p>
      <w:pPr>
        <w:jc w:val="center"/>
        <w:rPr>
          <w:rFonts w:ascii="黑体" w:hAnsi="ˎ̥" w:eastAsia="黑体"/>
          <w:sz w:val="32"/>
          <w:szCs w:val="32"/>
        </w:rPr>
      </w:pPr>
    </w:p>
    <w:p>
      <w:pPr>
        <w:jc w:val="center"/>
        <w:rPr>
          <w:rFonts w:ascii="楷体" w:hAnsi="楷体" w:eastAsia="楷体" w:cs="楷体"/>
          <w:sz w:val="32"/>
          <w:szCs w:val="32"/>
        </w:rPr>
      </w:pPr>
      <w:r>
        <w:rPr>
          <w:rFonts w:hint="eastAsia" w:ascii="黑体" w:hAnsi="ˎ̥" w:eastAsia="黑体"/>
          <w:sz w:val="32"/>
          <w:szCs w:val="32"/>
        </w:rPr>
        <w:t>第一部分  海南经贸职业技术学院部门概况</w:t>
      </w:r>
      <w:bookmarkEnd w:id="1"/>
      <w:bookmarkEnd w:id="2"/>
      <w:bookmarkEnd w:id="3"/>
      <w:bookmarkEnd w:id="4"/>
      <w:bookmarkEnd w:id="5"/>
      <w:bookmarkEnd w:id="6"/>
    </w:p>
    <w:p>
      <w:pPr>
        <w:ind w:firstLine="640" w:firstLineChars="200"/>
        <w:rPr>
          <w:rFonts w:ascii="黑体" w:hAnsi="黑体" w:eastAsia="黑体" w:cs="黑体"/>
          <w:sz w:val="32"/>
          <w:szCs w:val="32"/>
        </w:rPr>
      </w:pPr>
    </w:p>
    <w:p>
      <w:pPr>
        <w:numPr>
          <w:ilvl w:val="0"/>
          <w:numId w:val="2"/>
        </w:numPr>
        <w:ind w:firstLine="640" w:firstLineChars="200"/>
        <w:rPr>
          <w:rFonts w:ascii="黑体" w:hAnsi="黑体" w:eastAsia="黑体" w:cs="黑体"/>
          <w:sz w:val="32"/>
          <w:szCs w:val="32"/>
        </w:rPr>
      </w:pPr>
      <w:r>
        <w:rPr>
          <w:rFonts w:hint="eastAsia" w:ascii="黑体" w:hAnsi="黑体" w:eastAsia="黑体" w:cs="黑体"/>
          <w:sz w:val="32"/>
          <w:szCs w:val="32"/>
        </w:rPr>
        <w:t>部门</w:t>
      </w:r>
      <w:bookmarkEnd w:id="7"/>
      <w:r>
        <w:rPr>
          <w:rFonts w:hint="eastAsia" w:ascii="黑体" w:hAnsi="黑体" w:eastAsia="黑体" w:cs="黑体"/>
          <w:sz w:val="32"/>
          <w:szCs w:val="32"/>
        </w:rPr>
        <w:t>（单位）职责</w:t>
      </w:r>
      <w:bookmarkEnd w:id="8"/>
      <w:bookmarkEnd w:id="9"/>
      <w:bookmarkEnd w:id="10"/>
      <w:bookmarkEnd w:id="11"/>
      <w:bookmarkEnd w:id="12"/>
    </w:p>
    <w:p>
      <w:pPr>
        <w:shd w:val="clear" w:color="auto" w:fill="FFFFFF"/>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海南经贸职业技术学院隶属于海南省教育厅，是一所以培养经贸类高素质技术技能人才为主的国有公办高校。其前身为1984年创办的海南省对外贸易学校，2004年经海南省人民政府批准升格为海南经贸职业技术学院（以下简称“学院”）。目前，学院是中国特色高水平高职学校、国家骨干高职院校、国家优质高职院校、全国毕业生就业典型经验高校、全国职业院校实习管理50强、全国职业院校学生管理50强、全国职业院校魅力校园、全国职业院校就业竞争力示范校、全国高职高专院校竞争力百强学校、全国高职院校创新创业工作先进单位、全国职业教育先进集体。  </w:t>
      </w:r>
    </w:p>
    <w:p>
      <w:pPr>
        <w:shd w:val="clear" w:color="auto" w:fill="FFFFFF"/>
        <w:ind w:firstLine="640" w:firstLineChars="200"/>
        <w:rPr>
          <w:rFonts w:ascii="黑体" w:hAnsi="黑体" w:eastAsia="黑体" w:cs="黑体"/>
          <w:sz w:val="32"/>
          <w:szCs w:val="32"/>
        </w:rPr>
      </w:pPr>
      <w:r>
        <w:rPr>
          <w:rFonts w:ascii="仿宋_GB2312" w:hAnsi="仿宋_GB2312" w:eastAsia="仿宋_GB2312" w:cs="仿宋_GB2312"/>
          <w:bCs/>
          <w:sz w:val="32"/>
          <w:szCs w:val="32"/>
        </w:rPr>
        <w:t>学</w:t>
      </w:r>
      <w:r>
        <w:rPr>
          <w:rFonts w:hint="eastAsia" w:ascii="仿宋_GB2312" w:hAnsi="仿宋_GB2312" w:eastAsia="仿宋_GB2312" w:cs="仿宋_GB2312"/>
          <w:bCs/>
          <w:sz w:val="32"/>
          <w:szCs w:val="32"/>
        </w:rPr>
        <w:t>院</w:t>
      </w:r>
      <w:r>
        <w:rPr>
          <w:rFonts w:ascii="仿宋_GB2312" w:hAnsi="仿宋_GB2312" w:eastAsia="仿宋_GB2312" w:cs="仿宋_GB2312"/>
          <w:bCs/>
          <w:sz w:val="32"/>
          <w:szCs w:val="32"/>
        </w:rPr>
        <w:t>坚持立德树人，秉持办脊梁教育、育脊梁人才、建脊梁学校的办学理念，着力培养职业精神和职业技能高度融合、全面发展的高素质技术技能型人才</w:t>
      </w:r>
      <w:r>
        <w:rPr>
          <w:rFonts w:hint="eastAsia" w:ascii="仿宋_GB2312" w:hAnsi="仿宋_GB2312" w:eastAsia="仿宋_GB2312" w:cs="仿宋_GB2312"/>
          <w:bCs/>
          <w:sz w:val="32"/>
          <w:szCs w:val="32"/>
        </w:rPr>
        <w:t>；</w:t>
      </w:r>
      <w:r>
        <w:rPr>
          <w:rFonts w:ascii="仿宋_GB2312" w:hAnsi="仿宋_GB2312" w:eastAsia="仿宋_GB2312" w:cs="仿宋_GB2312"/>
          <w:bCs/>
          <w:sz w:val="32"/>
          <w:szCs w:val="32"/>
        </w:rPr>
        <w:t>坚持合作发展，深化产教融合和校企合作</w:t>
      </w:r>
      <w:r>
        <w:rPr>
          <w:rFonts w:hint="eastAsia" w:ascii="仿宋_GB2312" w:hAnsi="仿宋_GB2312" w:eastAsia="仿宋_GB2312" w:cs="仿宋_GB2312"/>
          <w:bCs/>
          <w:sz w:val="32"/>
          <w:szCs w:val="32"/>
        </w:rPr>
        <w:t>；</w:t>
      </w:r>
      <w:r>
        <w:rPr>
          <w:rFonts w:ascii="仿宋_GB2312" w:hAnsi="仿宋_GB2312" w:eastAsia="仿宋_GB2312" w:cs="仿宋_GB2312"/>
          <w:bCs/>
          <w:sz w:val="32"/>
          <w:szCs w:val="32"/>
        </w:rPr>
        <w:t>坚持开放发展，积极开展交流与合作，服务“一带一路”建设，先后与俄罗斯、白俄罗斯、韩国、马来西亚、丹麦等近20个国家的30多所高校开展国际交流与合作</w:t>
      </w:r>
      <w:r>
        <w:rPr>
          <w:rFonts w:hint="eastAsia" w:ascii="仿宋_GB2312" w:hAnsi="仿宋_GB2312" w:eastAsia="仿宋_GB2312" w:cs="仿宋_GB2312"/>
          <w:bCs/>
          <w:sz w:val="32"/>
          <w:szCs w:val="32"/>
        </w:rPr>
        <w:t>；</w:t>
      </w:r>
      <w:r>
        <w:rPr>
          <w:rFonts w:ascii="仿宋_GB2312" w:hAnsi="仿宋_GB2312" w:eastAsia="仿宋_GB2312" w:cs="仿宋_GB2312"/>
          <w:bCs/>
          <w:sz w:val="32"/>
          <w:szCs w:val="32"/>
        </w:rPr>
        <w:t>坚持文化育人，加快构建以“一本三脊四梁八柱”为核心办学理念的高品位脊梁文化体系</w:t>
      </w:r>
      <w:r>
        <w:rPr>
          <w:rFonts w:hint="eastAsia" w:ascii="仿宋_GB2312" w:hAnsi="仿宋_GB2312" w:eastAsia="仿宋_GB2312" w:cs="仿宋_GB2312"/>
          <w:bCs/>
          <w:sz w:val="32"/>
          <w:szCs w:val="32"/>
        </w:rPr>
        <w:t>。</w:t>
      </w:r>
    </w:p>
    <w:p>
      <w:pPr>
        <w:ind w:firstLine="640" w:firstLineChars="200"/>
        <w:rPr>
          <w:rFonts w:ascii="黑体" w:hAnsi="黑体" w:eastAsia="黑体" w:cs="黑体"/>
          <w:sz w:val="32"/>
          <w:szCs w:val="32"/>
        </w:rPr>
      </w:pPr>
      <w:bookmarkStart w:id="13" w:name="_Toc24474_WPSOffice_Level2"/>
      <w:bookmarkStart w:id="14" w:name="_Toc17796_WPSOffice_Level2"/>
      <w:bookmarkStart w:id="15" w:name="_Toc6572_WPSOffice_Level2"/>
      <w:bookmarkStart w:id="16" w:name="_Toc24059_WPSOffice_Level2"/>
      <w:bookmarkStart w:id="17" w:name="_Toc4833_WPSOffice_Level2"/>
      <w:r>
        <w:rPr>
          <w:rFonts w:hint="eastAsia" w:ascii="黑体" w:hAnsi="黑体" w:eastAsia="黑体" w:cs="黑体"/>
          <w:sz w:val="32"/>
          <w:szCs w:val="32"/>
        </w:rPr>
        <w:t>二、机构设置</w:t>
      </w:r>
      <w:bookmarkEnd w:id="13"/>
      <w:bookmarkEnd w:id="14"/>
      <w:bookmarkEnd w:id="15"/>
      <w:bookmarkEnd w:id="16"/>
      <w:bookmarkEnd w:id="17"/>
    </w:p>
    <w:p>
      <w:pPr>
        <w:spacing w:line="560" w:lineRule="exact"/>
        <w:ind w:firstLine="640" w:firstLineChars="200"/>
        <w:rPr>
          <w:rFonts w:ascii="仿宋_GB2312" w:hAnsi="仿宋_GB2312" w:eastAsia="仿宋_GB2312" w:cs="仿宋_GB2312"/>
          <w:bCs/>
          <w:sz w:val="32"/>
          <w:szCs w:val="32"/>
        </w:rPr>
      </w:pPr>
      <w:r>
        <w:rPr>
          <w:rFonts w:hint="eastAsia" w:ascii="仿宋_GB2312" w:hAnsi="ˎ̥" w:eastAsia="仿宋_GB2312"/>
          <w:sz w:val="32"/>
          <w:szCs w:val="32"/>
        </w:rPr>
        <w:t>纳入2021年度部门决算编制范围的二级预算单位包括：</w:t>
      </w:r>
      <w:r>
        <w:rPr>
          <w:rFonts w:hint="eastAsia" w:ascii="仿宋_GB2312" w:hAnsi="仿宋_GB2312" w:eastAsia="仿宋_GB2312" w:cs="仿宋_GB2312"/>
          <w:bCs/>
          <w:sz w:val="32"/>
          <w:szCs w:val="32"/>
        </w:rPr>
        <w:t>党政办公室、组织人事处等11个管理部门；团委和工会等2个群团组织，财务管理学院、工商管理学院等11个教学部门，图书馆、高等职业教育研究所等7个教辅部门，共计31个二级部门和单位。</w:t>
      </w:r>
    </w:p>
    <w:p>
      <w:pPr>
        <w:ind w:firstLine="640" w:firstLineChars="200"/>
        <w:rPr>
          <w:rFonts w:ascii="仿宋_GB2312" w:hAnsi="ˎ̥" w:eastAsia="仿宋_GB2312"/>
          <w:sz w:val="32"/>
          <w:szCs w:val="32"/>
        </w:rPr>
      </w:pPr>
    </w:p>
    <w:p>
      <w:pPr>
        <w:jc w:val="center"/>
        <w:rPr>
          <w:rFonts w:ascii="黑体" w:hAnsi="ˎ̥" w:eastAsia="黑体"/>
          <w:sz w:val="32"/>
          <w:szCs w:val="32"/>
        </w:rPr>
      </w:pPr>
      <w:bookmarkStart w:id="18" w:name="_Toc28253_WPSOffice_Level1"/>
      <w:bookmarkStart w:id="19" w:name="_Toc30451_WPSOffice_Level1"/>
      <w:bookmarkStart w:id="20" w:name="_Toc8164_WPSOffice_Level1"/>
      <w:bookmarkStart w:id="21" w:name="_Toc15521_WPSOffice_Level1"/>
      <w:bookmarkStart w:id="22" w:name="_Toc6234_WPSOffice_Level1"/>
      <w:bookmarkStart w:id="23" w:name="_Toc30690_WPSOffice_Level1"/>
      <w:bookmarkStart w:id="24" w:name="_Toc6211_WPSOffice_Level2"/>
      <w:bookmarkStart w:id="25" w:name="_Toc8867_WPSOffice_Level2"/>
      <w:bookmarkStart w:id="26" w:name="_Toc32695_WPSOffice_Level2"/>
      <w:bookmarkStart w:id="27" w:name="_Toc32472_WPSOffice_Level2"/>
      <w:bookmarkStart w:id="28" w:name="_Toc11518_WPSOffice_Level2"/>
      <w:bookmarkStart w:id="29" w:name="_Toc4029_WPSOffice_Level2"/>
    </w:p>
    <w:p>
      <w:pPr>
        <w:jc w:val="center"/>
        <w:rPr>
          <w:rFonts w:ascii="黑体" w:hAnsi="ˎ̥" w:eastAsia="黑体"/>
          <w:sz w:val="32"/>
          <w:szCs w:val="32"/>
        </w:rPr>
      </w:pPr>
    </w:p>
    <w:p>
      <w:pPr>
        <w:jc w:val="center"/>
        <w:rPr>
          <w:rFonts w:ascii="黑体" w:hAnsi="ˎ̥" w:eastAsia="黑体"/>
          <w:sz w:val="32"/>
          <w:szCs w:val="32"/>
        </w:rPr>
      </w:pPr>
    </w:p>
    <w:p>
      <w:pPr>
        <w:jc w:val="center"/>
        <w:rPr>
          <w:rFonts w:ascii="黑体" w:hAnsi="ˎ̥" w:eastAsia="黑体"/>
          <w:sz w:val="32"/>
          <w:szCs w:val="32"/>
        </w:rPr>
      </w:pPr>
    </w:p>
    <w:p>
      <w:pPr>
        <w:jc w:val="center"/>
        <w:rPr>
          <w:rFonts w:ascii="黑体" w:hAnsi="ˎ̥" w:eastAsia="黑体"/>
          <w:sz w:val="32"/>
          <w:szCs w:val="32"/>
        </w:rPr>
      </w:pPr>
    </w:p>
    <w:p>
      <w:pPr>
        <w:jc w:val="center"/>
        <w:rPr>
          <w:rFonts w:ascii="黑体" w:hAnsi="ˎ̥" w:eastAsia="黑体"/>
          <w:sz w:val="32"/>
          <w:szCs w:val="32"/>
        </w:rPr>
      </w:pPr>
    </w:p>
    <w:p>
      <w:pPr>
        <w:jc w:val="center"/>
        <w:rPr>
          <w:rFonts w:ascii="黑体" w:hAnsi="ˎ̥" w:eastAsia="黑体"/>
          <w:sz w:val="32"/>
          <w:szCs w:val="32"/>
        </w:rPr>
      </w:pPr>
    </w:p>
    <w:p>
      <w:pPr>
        <w:jc w:val="center"/>
        <w:rPr>
          <w:rFonts w:ascii="黑体" w:hAnsi="ˎ̥" w:eastAsia="黑体"/>
          <w:sz w:val="32"/>
          <w:szCs w:val="32"/>
        </w:rPr>
      </w:pPr>
    </w:p>
    <w:p>
      <w:pPr>
        <w:jc w:val="center"/>
        <w:rPr>
          <w:rFonts w:ascii="黑体" w:hAnsi="ˎ̥" w:eastAsia="黑体"/>
          <w:sz w:val="32"/>
          <w:szCs w:val="32"/>
        </w:rPr>
      </w:pPr>
    </w:p>
    <w:p>
      <w:pPr>
        <w:jc w:val="center"/>
        <w:rPr>
          <w:rFonts w:ascii="黑体" w:hAnsi="ˎ̥" w:eastAsia="黑体"/>
          <w:sz w:val="32"/>
          <w:szCs w:val="32"/>
        </w:rPr>
      </w:pPr>
    </w:p>
    <w:p>
      <w:pPr>
        <w:jc w:val="center"/>
        <w:rPr>
          <w:rFonts w:ascii="黑体" w:hAnsi="ˎ̥" w:eastAsia="黑体"/>
          <w:sz w:val="32"/>
          <w:szCs w:val="32"/>
        </w:rPr>
      </w:pPr>
    </w:p>
    <w:p>
      <w:pPr>
        <w:jc w:val="center"/>
        <w:rPr>
          <w:rFonts w:ascii="黑体" w:hAnsi="ˎ̥" w:eastAsia="黑体"/>
          <w:sz w:val="32"/>
          <w:szCs w:val="32"/>
        </w:rPr>
      </w:pPr>
    </w:p>
    <w:p>
      <w:pPr>
        <w:jc w:val="center"/>
        <w:rPr>
          <w:rFonts w:ascii="黑体" w:hAnsi="ˎ̥" w:eastAsia="黑体"/>
          <w:sz w:val="32"/>
          <w:szCs w:val="32"/>
        </w:rPr>
      </w:pPr>
    </w:p>
    <w:p>
      <w:pPr>
        <w:jc w:val="center"/>
        <w:rPr>
          <w:rFonts w:ascii="黑体" w:hAnsi="ˎ̥" w:eastAsia="黑体"/>
          <w:sz w:val="32"/>
          <w:szCs w:val="32"/>
        </w:rPr>
      </w:pPr>
    </w:p>
    <w:p>
      <w:pPr>
        <w:jc w:val="center"/>
        <w:rPr>
          <w:rFonts w:ascii="黑体" w:hAnsi="ˎ̥" w:eastAsia="黑体"/>
          <w:sz w:val="32"/>
          <w:szCs w:val="32"/>
        </w:rPr>
      </w:pPr>
    </w:p>
    <w:p>
      <w:pPr>
        <w:rPr>
          <w:rFonts w:ascii="黑体" w:hAnsi="ˎ̥" w:eastAsia="黑体"/>
          <w:sz w:val="32"/>
          <w:szCs w:val="32"/>
        </w:rPr>
      </w:pPr>
    </w:p>
    <w:p>
      <w:pPr>
        <w:jc w:val="center"/>
        <w:rPr>
          <w:rFonts w:ascii="黑体" w:hAnsi="ˎ̥" w:eastAsia="黑体"/>
          <w:sz w:val="32"/>
          <w:szCs w:val="32"/>
        </w:rPr>
      </w:pPr>
      <w:r>
        <w:rPr>
          <w:rFonts w:hint="eastAsia" w:ascii="黑体" w:hAnsi="ˎ̥" w:eastAsia="黑体"/>
          <w:sz w:val="32"/>
          <w:szCs w:val="32"/>
        </w:rPr>
        <w:t>第二部分  部门2021年度部门决算公开报表</w:t>
      </w:r>
      <w:bookmarkEnd w:id="18"/>
      <w:bookmarkEnd w:id="19"/>
      <w:bookmarkEnd w:id="20"/>
      <w:bookmarkEnd w:id="21"/>
      <w:bookmarkEnd w:id="22"/>
      <w:bookmarkEnd w:id="23"/>
    </w:p>
    <w:p>
      <w:pPr>
        <w:ind w:firstLine="645"/>
        <w:rPr>
          <w:rFonts w:ascii="仿宋" w:hAnsi="仿宋" w:eastAsia="仿宋" w:cs="仿宋"/>
          <w:sz w:val="30"/>
          <w:szCs w:val="30"/>
        </w:rPr>
      </w:pPr>
      <w:r>
        <w:rPr>
          <w:rFonts w:hint="eastAsia" w:ascii="仿宋" w:hAnsi="仿宋" w:eastAsia="仿宋" w:cs="仿宋"/>
          <w:sz w:val="30"/>
          <w:szCs w:val="30"/>
        </w:rPr>
        <w:t>一、收入支出决算公开表（见正文附件）</w:t>
      </w:r>
      <w:bookmarkEnd w:id="24"/>
      <w:bookmarkEnd w:id="25"/>
      <w:bookmarkEnd w:id="26"/>
      <w:r>
        <w:rPr>
          <w:rFonts w:hint="eastAsia" w:ascii="仿宋" w:hAnsi="仿宋" w:eastAsia="仿宋" w:cs="仿宋"/>
          <w:sz w:val="30"/>
          <w:szCs w:val="30"/>
        </w:rPr>
        <w:t>。</w:t>
      </w:r>
      <w:bookmarkEnd w:id="27"/>
      <w:bookmarkEnd w:id="28"/>
      <w:bookmarkEnd w:id="29"/>
    </w:p>
    <w:p>
      <w:pPr>
        <w:ind w:firstLine="645"/>
        <w:rPr>
          <w:rFonts w:ascii="仿宋" w:hAnsi="仿宋" w:eastAsia="仿宋" w:cs="仿宋"/>
          <w:sz w:val="30"/>
          <w:szCs w:val="30"/>
        </w:rPr>
      </w:pPr>
      <w:bookmarkStart w:id="30" w:name="_Toc26621_WPSOffice_Level2"/>
      <w:bookmarkStart w:id="31" w:name="_Toc25608_WPSOffice_Level2"/>
      <w:bookmarkStart w:id="32" w:name="_Toc23139_WPSOffice_Level2"/>
      <w:bookmarkStart w:id="33" w:name="_Toc28622_WPSOffice_Level2"/>
      <w:bookmarkStart w:id="34" w:name="_Toc14349_WPSOffice_Level2"/>
      <w:bookmarkStart w:id="35" w:name="_Toc30334_WPSOffice_Level2"/>
      <w:r>
        <w:rPr>
          <w:rFonts w:hint="eastAsia" w:ascii="仿宋" w:hAnsi="仿宋" w:eastAsia="仿宋" w:cs="仿宋"/>
          <w:sz w:val="30"/>
          <w:szCs w:val="30"/>
        </w:rPr>
        <w:t>二、收入决算公开表（见正文附件）</w:t>
      </w:r>
      <w:bookmarkEnd w:id="30"/>
      <w:bookmarkEnd w:id="31"/>
      <w:bookmarkEnd w:id="32"/>
      <w:r>
        <w:rPr>
          <w:rFonts w:hint="eastAsia" w:ascii="仿宋" w:hAnsi="仿宋" w:eastAsia="仿宋" w:cs="仿宋"/>
          <w:sz w:val="30"/>
          <w:szCs w:val="30"/>
        </w:rPr>
        <w:t>。</w:t>
      </w:r>
      <w:bookmarkEnd w:id="33"/>
      <w:bookmarkEnd w:id="34"/>
      <w:bookmarkEnd w:id="35"/>
    </w:p>
    <w:p>
      <w:pPr>
        <w:ind w:firstLine="645"/>
        <w:rPr>
          <w:rFonts w:ascii="仿宋" w:hAnsi="仿宋" w:eastAsia="仿宋" w:cs="仿宋"/>
          <w:sz w:val="30"/>
          <w:szCs w:val="30"/>
        </w:rPr>
      </w:pPr>
      <w:bookmarkStart w:id="36" w:name="_Toc3262_WPSOffice_Level2"/>
      <w:bookmarkStart w:id="37" w:name="_Toc17626_WPSOffice_Level2"/>
      <w:bookmarkStart w:id="38" w:name="_Toc17858_WPSOffice_Level2"/>
      <w:bookmarkStart w:id="39" w:name="_Toc14658_WPSOffice_Level2"/>
      <w:bookmarkStart w:id="40" w:name="_Toc5489_WPSOffice_Level2"/>
      <w:bookmarkStart w:id="41" w:name="_Toc13854_WPSOffice_Level2"/>
      <w:r>
        <w:rPr>
          <w:rFonts w:hint="eastAsia" w:ascii="仿宋" w:hAnsi="仿宋" w:eastAsia="仿宋" w:cs="仿宋"/>
          <w:sz w:val="30"/>
          <w:szCs w:val="30"/>
        </w:rPr>
        <w:t>三、支出决算公开表（见正文附件）</w:t>
      </w:r>
      <w:bookmarkEnd w:id="36"/>
      <w:bookmarkEnd w:id="37"/>
      <w:bookmarkEnd w:id="38"/>
      <w:r>
        <w:rPr>
          <w:rFonts w:hint="eastAsia" w:ascii="仿宋" w:hAnsi="仿宋" w:eastAsia="仿宋" w:cs="仿宋"/>
          <w:sz w:val="30"/>
          <w:szCs w:val="30"/>
        </w:rPr>
        <w:t>。</w:t>
      </w:r>
      <w:bookmarkEnd w:id="39"/>
      <w:bookmarkEnd w:id="40"/>
      <w:bookmarkEnd w:id="41"/>
    </w:p>
    <w:p>
      <w:pPr>
        <w:ind w:firstLine="645"/>
        <w:rPr>
          <w:rFonts w:ascii="仿宋" w:hAnsi="仿宋" w:eastAsia="仿宋" w:cs="仿宋"/>
          <w:sz w:val="30"/>
          <w:szCs w:val="30"/>
        </w:rPr>
      </w:pPr>
      <w:bookmarkStart w:id="42" w:name="_Toc21415_WPSOffice_Level2"/>
      <w:bookmarkStart w:id="43" w:name="_Toc23591_WPSOffice_Level2"/>
      <w:bookmarkStart w:id="44" w:name="_Toc13701_WPSOffice_Level2"/>
      <w:bookmarkStart w:id="45" w:name="_Toc7988_WPSOffice_Level2"/>
      <w:bookmarkStart w:id="46" w:name="_Toc23493_WPSOffice_Level2"/>
      <w:bookmarkStart w:id="47" w:name="_Toc4265_WPSOffice_Level2"/>
      <w:r>
        <w:rPr>
          <w:rFonts w:hint="eastAsia" w:ascii="仿宋" w:hAnsi="仿宋" w:eastAsia="仿宋" w:cs="仿宋"/>
          <w:sz w:val="30"/>
          <w:szCs w:val="30"/>
        </w:rPr>
        <w:t>四、财政拨款收入支出决算公开表（见正文附件）</w:t>
      </w:r>
      <w:bookmarkEnd w:id="42"/>
      <w:bookmarkEnd w:id="43"/>
      <w:bookmarkEnd w:id="44"/>
      <w:r>
        <w:rPr>
          <w:rFonts w:hint="eastAsia" w:ascii="仿宋" w:hAnsi="仿宋" w:eastAsia="仿宋" w:cs="仿宋"/>
          <w:sz w:val="30"/>
          <w:szCs w:val="30"/>
        </w:rPr>
        <w:t>。</w:t>
      </w:r>
      <w:bookmarkEnd w:id="45"/>
      <w:bookmarkEnd w:id="46"/>
      <w:bookmarkEnd w:id="47"/>
    </w:p>
    <w:p>
      <w:pPr>
        <w:ind w:firstLine="645"/>
        <w:rPr>
          <w:rFonts w:ascii="仿宋" w:hAnsi="仿宋" w:eastAsia="仿宋" w:cs="仿宋"/>
          <w:sz w:val="30"/>
          <w:szCs w:val="30"/>
        </w:rPr>
      </w:pPr>
      <w:bookmarkStart w:id="48" w:name="_Toc7879_WPSOffice_Level2"/>
      <w:bookmarkStart w:id="49" w:name="_Toc23829_WPSOffice_Level2"/>
      <w:bookmarkStart w:id="50" w:name="_Toc25166_WPSOffice_Level2"/>
      <w:bookmarkStart w:id="51" w:name="_Toc22783_WPSOffice_Level2"/>
      <w:bookmarkStart w:id="52" w:name="_Toc13516_WPSOffice_Level2"/>
      <w:bookmarkStart w:id="53" w:name="_Toc2158_WPSOffice_Level2"/>
      <w:r>
        <w:rPr>
          <w:rFonts w:hint="eastAsia" w:ascii="仿宋" w:hAnsi="仿宋" w:eastAsia="仿宋" w:cs="仿宋"/>
          <w:sz w:val="30"/>
          <w:szCs w:val="30"/>
        </w:rPr>
        <w:t>五、一般公共预算财政拨款收入支出决算</w:t>
      </w:r>
      <w:bookmarkEnd w:id="48"/>
      <w:bookmarkEnd w:id="49"/>
      <w:bookmarkEnd w:id="50"/>
      <w:bookmarkEnd w:id="51"/>
      <w:r>
        <w:rPr>
          <w:rFonts w:hint="eastAsia" w:ascii="仿宋" w:hAnsi="仿宋" w:eastAsia="仿宋" w:cs="仿宋"/>
          <w:sz w:val="30"/>
          <w:szCs w:val="30"/>
        </w:rPr>
        <w:t>公开表（见正文附件）</w:t>
      </w:r>
      <w:bookmarkEnd w:id="52"/>
      <w:bookmarkEnd w:id="53"/>
      <w:r>
        <w:rPr>
          <w:rFonts w:hint="eastAsia" w:ascii="仿宋" w:hAnsi="仿宋" w:eastAsia="仿宋" w:cs="仿宋"/>
          <w:sz w:val="30"/>
          <w:szCs w:val="30"/>
        </w:rPr>
        <w:t>。</w:t>
      </w:r>
    </w:p>
    <w:p>
      <w:pPr>
        <w:ind w:firstLine="645"/>
        <w:rPr>
          <w:rFonts w:ascii="仿宋" w:hAnsi="仿宋" w:eastAsia="仿宋" w:cs="仿宋"/>
          <w:sz w:val="30"/>
          <w:szCs w:val="30"/>
        </w:rPr>
      </w:pPr>
      <w:bookmarkStart w:id="54" w:name="_Toc5343_WPSOffice_Level2"/>
      <w:bookmarkStart w:id="55" w:name="_Toc17833_WPSOffice_Level2"/>
      <w:bookmarkStart w:id="56" w:name="_Toc8373_WPSOffice_Level2"/>
      <w:bookmarkStart w:id="57" w:name="_Toc25362_WPSOffice_Level2"/>
      <w:bookmarkStart w:id="58" w:name="_Toc2632_WPSOffice_Level2"/>
      <w:bookmarkStart w:id="59" w:name="_Toc17283_WPSOffice_Level2"/>
      <w:r>
        <w:rPr>
          <w:rFonts w:hint="eastAsia" w:ascii="仿宋" w:hAnsi="仿宋" w:eastAsia="仿宋" w:cs="仿宋"/>
          <w:sz w:val="30"/>
          <w:szCs w:val="30"/>
        </w:rPr>
        <w:t>六、一般公共预算财政拨款基本支出决算</w:t>
      </w:r>
      <w:bookmarkEnd w:id="54"/>
      <w:bookmarkEnd w:id="55"/>
      <w:bookmarkEnd w:id="56"/>
      <w:bookmarkEnd w:id="57"/>
      <w:bookmarkEnd w:id="58"/>
      <w:bookmarkEnd w:id="59"/>
      <w:r>
        <w:rPr>
          <w:rFonts w:hint="eastAsia" w:ascii="仿宋" w:hAnsi="仿宋" w:eastAsia="仿宋" w:cs="仿宋"/>
          <w:sz w:val="30"/>
          <w:szCs w:val="30"/>
        </w:rPr>
        <w:t>公开表（见正文附件）。</w:t>
      </w:r>
    </w:p>
    <w:p>
      <w:pPr>
        <w:ind w:left="1088" w:leftChars="304" w:hanging="450" w:hangingChars="150"/>
        <w:rPr>
          <w:rFonts w:ascii="仿宋" w:hAnsi="仿宋" w:eastAsia="仿宋" w:cs="仿宋"/>
          <w:sz w:val="30"/>
          <w:szCs w:val="30"/>
        </w:rPr>
      </w:pPr>
      <w:bookmarkStart w:id="60" w:name="_Toc1533_WPSOffice_Level2"/>
      <w:bookmarkStart w:id="61" w:name="_Toc13345_WPSOffice_Level2"/>
      <w:bookmarkStart w:id="62" w:name="_Toc6020_WPSOffice_Level2"/>
      <w:bookmarkStart w:id="63" w:name="_Toc21310_WPSOffice_Level2"/>
      <w:bookmarkStart w:id="64" w:name="_Toc5594_WPSOffice_Level2"/>
      <w:bookmarkStart w:id="65" w:name="_Toc11799_WPSOffice_Level2"/>
      <w:r>
        <w:rPr>
          <w:rFonts w:hint="eastAsia" w:ascii="仿宋" w:hAnsi="仿宋" w:eastAsia="仿宋" w:cs="仿宋"/>
          <w:sz w:val="30"/>
          <w:szCs w:val="30"/>
        </w:rPr>
        <w:t>七、政府性基金预算财政拨款收入支出决算</w:t>
      </w:r>
      <w:bookmarkEnd w:id="60"/>
      <w:bookmarkEnd w:id="61"/>
      <w:bookmarkEnd w:id="62"/>
      <w:bookmarkEnd w:id="63"/>
      <w:bookmarkEnd w:id="64"/>
      <w:bookmarkEnd w:id="65"/>
      <w:r>
        <w:rPr>
          <w:rFonts w:hint="eastAsia" w:ascii="仿宋" w:hAnsi="仿宋" w:eastAsia="仿宋" w:cs="仿宋"/>
          <w:sz w:val="30"/>
          <w:szCs w:val="30"/>
        </w:rPr>
        <w:t>公开表（见正文附件）。</w:t>
      </w:r>
    </w:p>
    <w:p>
      <w:pPr>
        <w:ind w:left="1088" w:leftChars="304" w:hanging="450" w:hangingChars="150"/>
        <w:rPr>
          <w:rFonts w:ascii="仿宋" w:hAnsi="仿宋" w:eastAsia="仿宋" w:cs="仿宋"/>
          <w:sz w:val="30"/>
          <w:szCs w:val="30"/>
        </w:rPr>
      </w:pPr>
      <w:r>
        <w:rPr>
          <w:rFonts w:hint="eastAsia" w:ascii="仿宋" w:hAnsi="仿宋" w:eastAsia="仿宋" w:cs="仿宋"/>
          <w:sz w:val="30"/>
          <w:szCs w:val="30"/>
        </w:rPr>
        <w:t>八、国有资本经营预算财政拨款收入支出决算公开表（见正文附件）。</w:t>
      </w:r>
    </w:p>
    <w:p>
      <w:pPr>
        <w:rPr>
          <w:rFonts w:ascii="仿宋" w:hAnsi="仿宋" w:eastAsia="仿宋" w:cs="仿宋"/>
          <w:sz w:val="30"/>
          <w:szCs w:val="30"/>
        </w:rPr>
      </w:pPr>
      <w:bookmarkStart w:id="66" w:name="_Toc29886_WPSOffice_Level2"/>
      <w:bookmarkStart w:id="67" w:name="_Toc1820_WPSOffice_Level2"/>
      <w:bookmarkStart w:id="68" w:name="_Toc9377_WPSOffice_Level2"/>
      <w:bookmarkStart w:id="69" w:name="_Toc19961_WPSOffice_Level2"/>
      <w:r>
        <w:rPr>
          <w:rFonts w:hint="eastAsia" w:ascii="仿宋" w:hAnsi="仿宋" w:eastAsia="仿宋" w:cs="仿宋"/>
          <w:sz w:val="30"/>
          <w:szCs w:val="30"/>
        </w:rPr>
        <w:t xml:space="preserve">    九、一般公共预算财政拨款“三公”经费支出决算</w:t>
      </w:r>
      <w:bookmarkEnd w:id="66"/>
      <w:bookmarkEnd w:id="67"/>
      <w:bookmarkEnd w:id="68"/>
      <w:bookmarkEnd w:id="69"/>
      <w:r>
        <w:rPr>
          <w:rFonts w:hint="eastAsia" w:ascii="仿宋" w:hAnsi="仿宋" w:eastAsia="仿宋" w:cs="仿宋"/>
          <w:sz w:val="30"/>
          <w:szCs w:val="30"/>
        </w:rPr>
        <w:t>公开表（见正文附件）。</w:t>
      </w:r>
    </w:p>
    <w:p>
      <w:pPr>
        <w:rPr>
          <w:rFonts w:ascii="仿宋" w:hAnsi="仿宋" w:eastAsia="仿宋" w:cs="仿宋"/>
          <w:sz w:val="30"/>
          <w:szCs w:val="30"/>
        </w:rPr>
      </w:pPr>
      <w:r>
        <w:rPr>
          <w:rFonts w:hint="eastAsia" w:ascii="仿宋" w:hAnsi="仿宋" w:eastAsia="仿宋" w:cs="仿宋"/>
          <w:w w:val="96"/>
          <w:sz w:val="30"/>
          <w:szCs w:val="30"/>
        </w:rPr>
        <w:t xml:space="preserve">    十、政府性基金预算财政拨款“三公”经费支出决算公开表</w:t>
      </w:r>
      <w:r>
        <w:rPr>
          <w:rFonts w:hint="eastAsia" w:ascii="仿宋" w:hAnsi="仿宋" w:eastAsia="仿宋" w:cs="仿宋"/>
          <w:sz w:val="30"/>
          <w:szCs w:val="30"/>
        </w:rPr>
        <w:t>（见正文附件）。</w:t>
      </w:r>
    </w:p>
    <w:p>
      <w:pPr>
        <w:rPr>
          <w:rFonts w:ascii="仿宋" w:hAnsi="仿宋" w:eastAsia="仿宋" w:cs="仿宋"/>
          <w:sz w:val="30"/>
          <w:szCs w:val="30"/>
        </w:rPr>
      </w:pPr>
      <w:r>
        <w:rPr>
          <w:rFonts w:hint="eastAsia" w:ascii="仿宋" w:hAnsi="仿宋" w:eastAsia="仿宋" w:cs="仿宋"/>
          <w:w w:val="96"/>
          <w:sz w:val="30"/>
          <w:szCs w:val="30"/>
        </w:rPr>
        <w:t xml:space="preserve">    十一、国有资本经营预算财政拨款“三公”经费支出决算公开表</w:t>
      </w:r>
      <w:r>
        <w:rPr>
          <w:rFonts w:hint="eastAsia" w:ascii="仿宋" w:hAnsi="仿宋" w:eastAsia="仿宋" w:cs="仿宋"/>
          <w:sz w:val="30"/>
          <w:szCs w:val="30"/>
        </w:rPr>
        <w:t>（见正文附件）。</w:t>
      </w:r>
    </w:p>
    <w:p>
      <w:pPr>
        <w:rPr>
          <w:rFonts w:ascii="黑体" w:hAnsi="黑体" w:eastAsia="黑体" w:cs="黑体"/>
          <w:sz w:val="32"/>
          <w:szCs w:val="32"/>
        </w:rPr>
      </w:pPr>
    </w:p>
    <w:p>
      <w:pPr>
        <w:jc w:val="center"/>
        <w:rPr>
          <w:rFonts w:ascii="黑体" w:hAnsi="ˎ̥" w:eastAsia="黑体"/>
          <w:sz w:val="32"/>
          <w:szCs w:val="32"/>
        </w:rPr>
      </w:pPr>
      <w:bookmarkStart w:id="70" w:name="_Toc27590_WPSOffice_Level1"/>
      <w:bookmarkStart w:id="71" w:name="_Toc16686_WPSOffice_Level1"/>
      <w:bookmarkStart w:id="72" w:name="_Toc31264_WPSOffice_Level1"/>
      <w:bookmarkStart w:id="73" w:name="_Toc4402_WPSOffice_Level1"/>
      <w:bookmarkStart w:id="74" w:name="_Toc29683_WPSOffice_Level1"/>
      <w:bookmarkStart w:id="75" w:name="_Toc28629_WPSOffice_Level1"/>
    </w:p>
    <w:p>
      <w:pPr>
        <w:rPr>
          <w:rFonts w:ascii="黑体" w:hAnsi="ˎ̥" w:eastAsia="黑体"/>
          <w:sz w:val="32"/>
          <w:szCs w:val="32"/>
        </w:rPr>
      </w:pPr>
    </w:p>
    <w:p>
      <w:pPr>
        <w:jc w:val="center"/>
        <w:rPr>
          <w:rFonts w:ascii="黑体" w:hAnsi="ˎ̥" w:eastAsia="黑体"/>
          <w:sz w:val="32"/>
          <w:szCs w:val="32"/>
        </w:rPr>
      </w:pPr>
    </w:p>
    <w:p>
      <w:pPr>
        <w:spacing w:line="288" w:lineRule="auto"/>
        <w:jc w:val="center"/>
        <w:rPr>
          <w:rFonts w:ascii="黑体" w:hAnsi="ˎ̥" w:eastAsia="黑体"/>
          <w:sz w:val="32"/>
          <w:szCs w:val="32"/>
        </w:rPr>
      </w:pPr>
      <w:r>
        <w:rPr>
          <w:rFonts w:hint="eastAsia" w:ascii="黑体" w:hAnsi="ˎ̥" w:eastAsia="黑体"/>
          <w:sz w:val="32"/>
          <w:szCs w:val="32"/>
        </w:rPr>
        <w:t>第三部分  2021年度部门决算情况说明</w:t>
      </w:r>
      <w:bookmarkEnd w:id="70"/>
      <w:bookmarkEnd w:id="71"/>
      <w:bookmarkEnd w:id="72"/>
      <w:bookmarkEnd w:id="73"/>
      <w:bookmarkEnd w:id="74"/>
      <w:bookmarkEnd w:id="75"/>
    </w:p>
    <w:p>
      <w:pPr>
        <w:spacing w:line="288" w:lineRule="auto"/>
        <w:rPr>
          <w:rFonts w:ascii="黑体" w:hAnsi="ˎ̥" w:eastAsia="黑体"/>
          <w:sz w:val="32"/>
          <w:szCs w:val="32"/>
        </w:rPr>
      </w:pPr>
    </w:p>
    <w:p>
      <w:pPr>
        <w:spacing w:line="288" w:lineRule="auto"/>
        <w:ind w:firstLine="640" w:firstLineChars="200"/>
        <w:rPr>
          <w:rFonts w:ascii="黑体" w:hAnsi="黑体" w:eastAsia="黑体" w:cs="黑体"/>
          <w:bCs/>
          <w:sz w:val="32"/>
          <w:szCs w:val="32"/>
        </w:rPr>
      </w:pPr>
      <w:r>
        <w:rPr>
          <w:rFonts w:hint="eastAsia" w:ascii="黑体" w:hAnsi="黑体" w:eastAsia="黑体" w:cs="黑体"/>
          <w:bCs/>
          <w:sz w:val="32"/>
          <w:szCs w:val="32"/>
        </w:rPr>
        <w:t>一、收入支出决算总体情况说明</w:t>
      </w:r>
    </w:p>
    <w:p>
      <w:pPr>
        <w:ind w:firstLine="640" w:firstLineChars="200"/>
        <w:rPr>
          <w:rFonts w:ascii="仿宋_GB2312" w:hAnsi="ˎ̥" w:eastAsia="仿宋_GB2312"/>
          <w:sz w:val="32"/>
          <w:szCs w:val="32"/>
        </w:rPr>
      </w:pPr>
      <w:r>
        <w:rPr>
          <w:rFonts w:hint="eastAsia" w:ascii="楷体_GB2312" w:hAnsi="ˎ̥" w:eastAsia="楷体_GB2312"/>
          <w:sz w:val="32"/>
          <w:szCs w:val="32"/>
        </w:rPr>
        <w:t xml:space="preserve">    </w:t>
      </w:r>
      <w:r>
        <w:rPr>
          <w:rFonts w:hint="eastAsia" w:ascii="仿宋_GB2312" w:hAnsi="ˎ̥" w:eastAsia="仿宋_GB2312"/>
          <w:sz w:val="32"/>
          <w:szCs w:val="32"/>
        </w:rPr>
        <w:t>2021年度收、支总计 41,017.13 万元，与2020年度相比，收入、支出总计各增加12,570.41万元，增长44.19%。</w:t>
      </w:r>
      <w:r>
        <w:rPr>
          <w:rFonts w:hint="eastAsia" w:ascii="仿宋_GB2312" w:hAnsi="仿宋_GB2312" w:eastAsia="仿宋_GB2312" w:cs="仿宋_GB2312"/>
          <w:bCs/>
          <w:sz w:val="32"/>
          <w:szCs w:val="32"/>
        </w:rPr>
        <w:t>本年度收入增加的主要原因：一是部门年度预算新增现代职业教育质量提升计划专项资金项目8,812.00万元、新增学生资助补助项目309.50万元；二是本年度收到中央转移支付下拨和省级配套的“教育发展专项资金”等专项资金收入以及事业收入增加；三是本年度预算执行完成率较大幅度增长。本年度支出增加的主要原因：一是加大师资队伍人才引进，以及人员变动，形成人员工资等基本支出增长；二是高职扩招，学生规模大幅增长，财政下拨公用经费预算增加；三是采取加快预算执行有效措施，项目支出比上年度大幅增长；四是着重“双高”任务执行，各类项目有序平稳推进建设；五是启动留学生教育综合楼等基础设施项目建设。</w:t>
      </w:r>
    </w:p>
    <w:p>
      <w:pPr>
        <w:ind w:firstLine="640" w:firstLineChars="200"/>
        <w:rPr>
          <w:rFonts w:ascii="仿宋_GB2312" w:hAnsi="ˎ̥" w:eastAsia="仿宋_GB2312"/>
          <w:sz w:val="32"/>
          <w:szCs w:val="32"/>
        </w:rPr>
      </w:pPr>
      <w:r>
        <w:rPr>
          <w:rFonts w:hint="eastAsia" w:ascii="仿宋_GB2312" w:hAnsi="ˎ̥" w:eastAsia="仿宋_GB2312"/>
          <w:sz w:val="32"/>
          <w:szCs w:val="32"/>
        </w:rPr>
        <w:t>使用非财政拨款结余 72.27万元，较2020年度决算数减少821.7万元，主要原因是使用非财政拨款结余弥补基本支出结转数较上年大幅减少。</w:t>
      </w:r>
    </w:p>
    <w:p>
      <w:pPr>
        <w:ind w:firstLine="640" w:firstLineChars="200"/>
        <w:rPr>
          <w:rFonts w:ascii="仿宋_GB2312" w:hAnsi="ˎ̥" w:eastAsia="仿宋_GB2312"/>
          <w:sz w:val="32"/>
          <w:szCs w:val="32"/>
        </w:rPr>
      </w:pPr>
      <w:r>
        <w:rPr>
          <w:rFonts w:hint="eastAsia" w:ascii="仿宋_GB2312" w:hAnsi="ˎ̥" w:eastAsia="仿宋_GB2312"/>
          <w:sz w:val="32"/>
          <w:szCs w:val="32"/>
        </w:rPr>
        <w:t>年初结转结余1</w:t>
      </w:r>
      <w:r>
        <w:rPr>
          <w:rFonts w:hint="eastAsia" w:ascii="仿宋_GB2312" w:hAnsi="ˎ̥" w:eastAsia="仿宋_GB2312"/>
          <w:sz w:val="32"/>
          <w:szCs w:val="32"/>
          <w:lang w:val="en-US" w:eastAsia="zh-CN"/>
        </w:rPr>
        <w:t>,</w:t>
      </w:r>
      <w:r>
        <w:rPr>
          <w:rFonts w:hint="eastAsia" w:ascii="仿宋_GB2312" w:hAnsi="ˎ̥" w:eastAsia="仿宋_GB2312"/>
          <w:sz w:val="32"/>
          <w:szCs w:val="32"/>
        </w:rPr>
        <w:t>067.67 万元，主要是学科与专业建设、教育发展专项资金、科技创新发展计划专项资金、历年基建并账项目等，较2020年度决算数减少445.5万元，下降29.44%，主要原因是2020学生资助补助项目、职业教育质量提升资金、设备购置与运行维护等项目无结转下年继续使用数</w:t>
      </w:r>
      <w:r>
        <w:rPr>
          <w:rFonts w:hint="eastAsia" w:ascii="仿宋_GB2312" w:hAnsi="ˎ̥" w:eastAsia="仿宋_GB2312"/>
          <w:sz w:val="32"/>
          <w:szCs w:val="32"/>
          <w:lang w:val="en-US" w:eastAsia="zh-CN"/>
        </w:rPr>
        <w:t>，</w:t>
      </w:r>
      <w:r>
        <w:rPr>
          <w:rFonts w:hint="eastAsia" w:ascii="仿宋_GB2312" w:hAnsi="ˎ̥" w:eastAsia="仿宋_GB2312"/>
          <w:sz w:val="32"/>
          <w:szCs w:val="32"/>
        </w:rPr>
        <w:t>同时2021年财政收回历年指标40.81万。</w:t>
      </w:r>
    </w:p>
    <w:p>
      <w:pPr>
        <w:ind w:firstLine="640" w:firstLineChars="200"/>
        <w:rPr>
          <w:rFonts w:ascii="仿宋_GB2312" w:hAnsi="ˎ̥" w:eastAsia="仿宋_GB2312"/>
          <w:sz w:val="32"/>
          <w:szCs w:val="32"/>
        </w:rPr>
      </w:pPr>
      <w:r>
        <w:rPr>
          <w:rFonts w:hint="eastAsia" w:ascii="仿宋_GB2312" w:hAnsi="ˎ̥" w:eastAsia="仿宋_GB2312"/>
          <w:sz w:val="32"/>
          <w:szCs w:val="32"/>
        </w:rPr>
        <w:t>结余分配37.02万元，主要是经营结余，较2020年度决算数增加10.23万元，增长38.19%，主要原因是非财政拨款结余增加。</w:t>
      </w:r>
    </w:p>
    <w:p>
      <w:pPr>
        <w:ind w:firstLine="640" w:firstLineChars="200"/>
        <w:rPr>
          <w:rFonts w:ascii="仿宋_GB2312" w:hAnsi="ˎ̥" w:eastAsia="仿宋_GB2312"/>
          <w:sz w:val="32"/>
          <w:szCs w:val="32"/>
        </w:rPr>
      </w:pPr>
      <w:r>
        <w:rPr>
          <w:rFonts w:hint="eastAsia" w:ascii="仿宋_GB2312" w:hAnsi="ˎ̥" w:eastAsia="仿宋_GB2312"/>
          <w:color w:val="auto"/>
          <w:sz w:val="32"/>
          <w:szCs w:val="32"/>
        </w:rPr>
        <w:t>年末结转结余1</w:t>
      </w:r>
      <w:r>
        <w:rPr>
          <w:rFonts w:hint="eastAsia" w:ascii="仿宋_GB2312" w:hAnsi="ˎ̥" w:eastAsia="仿宋_GB2312"/>
          <w:color w:val="auto"/>
          <w:sz w:val="32"/>
          <w:szCs w:val="32"/>
          <w:lang w:val="en-US" w:eastAsia="zh-CN"/>
        </w:rPr>
        <w:t>,</w:t>
      </w:r>
      <w:r>
        <w:rPr>
          <w:rFonts w:hint="eastAsia" w:ascii="仿宋_GB2312" w:hAnsi="ˎ̥" w:eastAsia="仿宋_GB2312"/>
          <w:color w:val="auto"/>
          <w:sz w:val="32"/>
          <w:szCs w:val="32"/>
        </w:rPr>
        <w:t>405.15万元，主要是现代职业教育质量提升计划专项资金、学科与专业建设、</w:t>
      </w:r>
      <w:r>
        <w:rPr>
          <w:rFonts w:hint="eastAsia" w:ascii="仿宋_GB2312" w:hAnsi="ˎ̥" w:eastAsia="仿宋_GB2312"/>
          <w:color w:val="auto"/>
          <w:sz w:val="32"/>
          <w:szCs w:val="32"/>
          <w:lang w:val="en-US" w:eastAsia="zh-CN"/>
        </w:rPr>
        <w:t>新校区建设、</w:t>
      </w:r>
      <w:r>
        <w:rPr>
          <w:rFonts w:hint="eastAsia" w:ascii="仿宋_GB2312" w:hAnsi="ˎ̥" w:eastAsia="仿宋_GB2312"/>
          <w:color w:val="auto"/>
          <w:sz w:val="32"/>
          <w:szCs w:val="32"/>
        </w:rPr>
        <w:t>学生资助补助经费、科技创新发展计划专项资金等项目资金，较2020年度决算数增加274.34万元，增长24.26%，主要原因</w:t>
      </w:r>
      <w:r>
        <w:rPr>
          <w:rFonts w:hint="eastAsia" w:ascii="仿宋_GB2312" w:hAnsi="仿宋_GB2312" w:eastAsia="仿宋_GB2312" w:cs="仿宋_GB2312"/>
          <w:bCs/>
          <w:color w:val="auto"/>
          <w:sz w:val="32"/>
          <w:szCs w:val="32"/>
        </w:rPr>
        <w:t>一是部门年度预算新增现代职业教育质量提升计划专项资金项目和学生资助补助项目</w:t>
      </w:r>
      <w:r>
        <w:rPr>
          <w:rFonts w:hint="eastAsia" w:ascii="仿宋_GB2312" w:hAnsi="仿宋_GB2312" w:eastAsia="仿宋_GB2312" w:cs="仿宋_GB2312"/>
          <w:bCs/>
          <w:color w:val="auto"/>
          <w:sz w:val="32"/>
          <w:szCs w:val="32"/>
          <w:lang w:eastAsia="zh-CN"/>
        </w:rPr>
        <w:t>。</w:t>
      </w:r>
    </w:p>
    <w:p>
      <w:pPr>
        <w:ind w:firstLine="640" w:firstLineChars="200"/>
        <w:rPr>
          <w:rFonts w:ascii="黑体" w:hAnsi="黑体" w:eastAsia="黑体" w:cs="黑体"/>
          <w:bCs/>
          <w:sz w:val="32"/>
          <w:szCs w:val="32"/>
        </w:rPr>
      </w:pPr>
      <w:r>
        <w:rPr>
          <w:rFonts w:hint="eastAsia" w:ascii="黑体" w:hAnsi="黑体" w:eastAsia="黑体" w:cs="黑体"/>
          <w:bCs/>
          <w:sz w:val="32"/>
          <w:szCs w:val="32"/>
        </w:rPr>
        <w:t>二、收入决算情况说明</w:t>
      </w:r>
    </w:p>
    <w:p>
      <w:pPr>
        <w:ind w:firstLine="640" w:firstLineChars="200"/>
        <w:rPr>
          <w:rFonts w:ascii="仿宋_GB2312" w:hAnsi="ˎ̥" w:eastAsia="仿宋_GB2312"/>
          <w:sz w:val="32"/>
          <w:szCs w:val="32"/>
        </w:rPr>
      </w:pPr>
      <w:r>
        <w:rPr>
          <w:rFonts w:hint="eastAsia" w:ascii="仿宋_GB2312" w:hAnsi="ˎ̥" w:eastAsia="仿宋_GB2312"/>
          <w:sz w:val="32"/>
          <w:szCs w:val="32"/>
        </w:rPr>
        <w:t xml:space="preserve">    本年收入合计39,877.2万元，其中：财政拨款收入30,019.09万元，占75.28%；上级补助收入0.00万元；事业收入9,399.02万元，占23.57%；经营收入66.19万元，占0.17%；附属单位上缴收入0.00万元；其他收入392.9   万元，占0.99%。</w:t>
      </w:r>
    </w:p>
    <w:p>
      <w:pPr>
        <w:ind w:firstLine="627" w:firstLineChars="196"/>
        <w:rPr>
          <w:rFonts w:ascii="黑体" w:hAnsi="黑体" w:eastAsia="黑体" w:cs="黑体"/>
          <w:bCs/>
          <w:sz w:val="32"/>
          <w:szCs w:val="32"/>
        </w:rPr>
      </w:pPr>
      <w:r>
        <w:rPr>
          <w:rFonts w:hint="eastAsia" w:ascii="黑体" w:hAnsi="黑体" w:eastAsia="黑体" w:cs="黑体"/>
          <w:bCs/>
          <w:sz w:val="32"/>
          <w:szCs w:val="32"/>
        </w:rPr>
        <w:t>三、支出决算情况说明</w:t>
      </w:r>
    </w:p>
    <w:p>
      <w:pPr>
        <w:ind w:firstLine="640" w:firstLineChars="200"/>
        <w:rPr>
          <w:rFonts w:ascii="仿宋_GB2312" w:hAnsi="ˎ̥" w:eastAsia="仿宋_GB2312"/>
          <w:sz w:val="32"/>
          <w:szCs w:val="32"/>
        </w:rPr>
      </w:pPr>
      <w:r>
        <w:rPr>
          <w:rFonts w:hint="eastAsia" w:ascii="仿宋_GB2312" w:hAnsi="ˎ̥" w:eastAsia="仿宋_GB2312"/>
          <w:sz w:val="32"/>
          <w:szCs w:val="32"/>
        </w:rPr>
        <w:t>本年支出合计39,574.96万元，其中：基本支出19,091.93万元，占48.24%；项目支出20,453.86万元，占51.68%；上缴上级支出0.00万元；经营支出29.17万元，占0.08%；对附属单位补助支出0.00万元。</w:t>
      </w:r>
    </w:p>
    <w:p>
      <w:pPr>
        <w:ind w:firstLine="627" w:firstLineChars="196"/>
        <w:rPr>
          <w:rFonts w:ascii="黑体" w:hAnsi="黑体" w:eastAsia="黑体" w:cs="黑体"/>
          <w:bCs/>
          <w:sz w:val="32"/>
          <w:szCs w:val="32"/>
        </w:rPr>
      </w:pPr>
      <w:r>
        <w:rPr>
          <w:rFonts w:hint="eastAsia" w:ascii="黑体" w:hAnsi="黑体" w:eastAsia="黑体" w:cs="黑体"/>
          <w:bCs/>
          <w:sz w:val="32"/>
          <w:szCs w:val="32"/>
        </w:rPr>
        <w:t>四、财政拨款收入支出决算总体情况说明</w:t>
      </w:r>
    </w:p>
    <w:p>
      <w:pPr>
        <w:ind w:firstLine="640" w:firstLineChars="200"/>
        <w:rPr>
          <w:rFonts w:ascii="仿宋_GB2312" w:hAnsi="ˎ̥" w:eastAsia="仿宋_GB2312"/>
          <w:sz w:val="32"/>
          <w:szCs w:val="32"/>
        </w:rPr>
      </w:pPr>
      <w:r>
        <w:rPr>
          <w:rFonts w:hint="eastAsia" w:ascii="仿宋_GB2312" w:hAnsi="ˎ̥" w:eastAsia="仿宋_GB2312"/>
          <w:sz w:val="32"/>
          <w:szCs w:val="32"/>
        </w:rPr>
        <w:t>2021年度财政拨款收入、支出总计30,105.51万元。与2020年度相比，财政拨款收入、支出总计各增加10,654.89万元，增长54.78%。主要原因：</w:t>
      </w:r>
      <w:r>
        <w:rPr>
          <w:rFonts w:hint="eastAsia" w:ascii="仿宋_GB2312" w:hAnsi="仿宋_GB2312" w:eastAsia="仿宋_GB2312" w:cs="仿宋_GB2312"/>
          <w:bCs/>
          <w:sz w:val="32"/>
          <w:szCs w:val="32"/>
        </w:rPr>
        <w:t>一是部门年度预算新增现代职业教育质量提升计划专项资金项目8,812.00万元、新增学生资助补助项目309.50万元；二是教育发展专项资金项目预算较上年增加1,292.13万元</w:t>
      </w:r>
      <w:r>
        <w:rPr>
          <w:rFonts w:hint="eastAsia" w:ascii="仿宋_GB2312" w:hAnsi="ˎ̥" w:eastAsia="仿宋_GB2312"/>
          <w:sz w:val="32"/>
          <w:szCs w:val="32"/>
        </w:rPr>
        <w:t>;三是学院</w:t>
      </w:r>
      <w:r>
        <w:rPr>
          <w:rFonts w:hint="eastAsia" w:ascii="仿宋_GB2312" w:hAnsi="仿宋_GB2312" w:eastAsia="仿宋_GB2312" w:cs="仿宋_GB2312"/>
          <w:bCs/>
          <w:sz w:val="32"/>
          <w:szCs w:val="32"/>
        </w:rPr>
        <w:t>平稳推进建设“双高”任务以及启动留学生教育综合楼等基础设施项目建设；四是采取加快预算执行有效措施，项目支出比上年度大幅增长</w:t>
      </w:r>
      <w:r>
        <w:rPr>
          <w:rFonts w:hint="eastAsia" w:ascii="仿宋_GB2312" w:hAnsi="ˎ̥" w:eastAsia="仿宋_GB2312"/>
          <w:sz w:val="32"/>
          <w:szCs w:val="32"/>
        </w:rPr>
        <w:t>。</w:t>
      </w:r>
    </w:p>
    <w:p>
      <w:pPr>
        <w:pStyle w:val="2"/>
        <w:spacing w:line="560" w:lineRule="exact"/>
        <w:ind w:firstLine="640"/>
        <w:rPr>
          <w:rFonts w:ascii="仿宋_GB2312" w:hAnsi="ˎ̥" w:eastAsia="仿宋_GB2312"/>
          <w:sz w:val="32"/>
          <w:szCs w:val="32"/>
        </w:rPr>
      </w:pPr>
      <w:r>
        <w:rPr>
          <w:rFonts w:hint="eastAsia" w:ascii="仿宋_GB2312" w:hAnsi="ˎ̥" w:eastAsia="仿宋_GB2312"/>
          <w:sz w:val="32"/>
          <w:szCs w:val="32"/>
        </w:rPr>
        <w:t>财政拨款年初结转结余86.42万元，主要是教育发展专项资金、高新技术产业发展专项资金、科技创新发展计划专项资金等，较2020年度决算数减少593.47万元，下降87.29%，主要原因是</w:t>
      </w:r>
      <w:r>
        <w:rPr>
          <w:rFonts w:hint="eastAsia" w:ascii="仿宋_GB2312" w:hAnsi="仿宋_GB2312" w:eastAsia="仿宋_GB2312" w:cs="仿宋_GB2312"/>
          <w:bCs/>
          <w:sz w:val="32"/>
          <w:szCs w:val="32"/>
        </w:rPr>
        <w:t>2020年财政收回平衡预算数，结转下年继续使用的收入数较2019年减少617.03万元，财政收回历年指标40.81万</w:t>
      </w:r>
      <w:r>
        <w:rPr>
          <w:rFonts w:ascii="仿宋_GB2312" w:hAnsi="仿宋_GB2312" w:eastAsia="仿宋_GB2312" w:cs="仿宋_GB2312"/>
          <w:bCs/>
          <w:sz w:val="32"/>
          <w:szCs w:val="32"/>
        </w:rPr>
        <w:t>。</w:t>
      </w:r>
    </w:p>
    <w:p>
      <w:pPr>
        <w:ind w:firstLine="640" w:firstLineChars="200"/>
        <w:rPr>
          <w:rFonts w:ascii="仿宋_GB2312" w:hAnsi="ˎ̥" w:eastAsia="仿宋_GB2312"/>
          <w:sz w:val="32"/>
          <w:szCs w:val="32"/>
        </w:rPr>
      </w:pPr>
      <w:r>
        <w:rPr>
          <w:rFonts w:hint="eastAsia" w:ascii="仿宋_GB2312" w:hAnsi="ˎ̥" w:eastAsia="仿宋_GB2312"/>
          <w:sz w:val="32"/>
          <w:szCs w:val="32"/>
        </w:rPr>
        <w:t>财政拨款年末结转结余342.56万元，主要是结转下年继续使用的现代职业教育质量提升计划专项资金326.92万元、学生资助补助经费3.03万元、高新技术产业发展专项资金0.6万、科技创新发展计划专项资金12.01万元，较2020年度年末决算数增加215.33万元，增长169.24%，主要原因是2021年度平衡预算数收回较上年</w:t>
      </w:r>
      <w:r>
        <w:rPr>
          <w:rFonts w:hint="eastAsia" w:ascii="仿宋_GB2312" w:hAnsi="ˎ̥" w:eastAsia="仿宋_GB2312"/>
          <w:sz w:val="32"/>
          <w:szCs w:val="32"/>
          <w:lang w:val="en-US" w:eastAsia="zh-CN"/>
        </w:rPr>
        <w:t>大幅</w:t>
      </w:r>
      <w:r>
        <w:rPr>
          <w:rFonts w:hint="eastAsia" w:ascii="仿宋_GB2312" w:hAnsi="ˎ̥" w:eastAsia="仿宋_GB2312"/>
          <w:sz w:val="32"/>
          <w:szCs w:val="32"/>
        </w:rPr>
        <w:t>减少，结转下年继续使用数增加。</w:t>
      </w:r>
    </w:p>
    <w:p>
      <w:pPr>
        <w:ind w:firstLine="627" w:firstLineChars="196"/>
        <w:rPr>
          <w:rFonts w:ascii="黑体" w:hAnsi="黑体" w:eastAsia="黑体" w:cs="黑体"/>
          <w:bCs/>
          <w:sz w:val="32"/>
          <w:szCs w:val="32"/>
        </w:rPr>
      </w:pPr>
      <w:r>
        <w:rPr>
          <w:rFonts w:hint="eastAsia" w:ascii="黑体" w:hAnsi="黑体" w:eastAsia="黑体" w:cs="黑体"/>
          <w:bCs/>
          <w:sz w:val="32"/>
          <w:szCs w:val="32"/>
        </w:rPr>
        <w:t>五、一般公共预算财政拨款支出决算情况说明</w:t>
      </w:r>
    </w:p>
    <w:p>
      <w:pPr>
        <w:ind w:firstLine="640" w:firstLineChars="200"/>
        <w:rPr>
          <w:rFonts w:ascii="楷体" w:hAnsi="楷体" w:eastAsia="楷体" w:cs="楷体"/>
          <w:sz w:val="32"/>
          <w:szCs w:val="32"/>
        </w:rPr>
      </w:pPr>
      <w:bookmarkStart w:id="76" w:name="_Toc13694_WPSOffice_Level2"/>
      <w:bookmarkStart w:id="77" w:name="_Toc17398_WPSOffice_Level2"/>
      <w:bookmarkStart w:id="78" w:name="_Toc21737_WPSOffice_Level2"/>
      <w:bookmarkStart w:id="79" w:name="_Toc23005_WPSOffice_Level2"/>
      <w:bookmarkStart w:id="80" w:name="_Toc19665_WPSOffice_Level2"/>
      <w:bookmarkStart w:id="81" w:name="_Toc9989_WPSOffice_Level2"/>
      <w:r>
        <w:rPr>
          <w:rFonts w:hint="eastAsia" w:ascii="楷体" w:hAnsi="楷体" w:eastAsia="楷体" w:cs="楷体"/>
          <w:sz w:val="32"/>
          <w:szCs w:val="32"/>
        </w:rPr>
        <w:t>（一）一般公共预算财政拨款支出决算总体情况</w:t>
      </w:r>
      <w:bookmarkEnd w:id="76"/>
      <w:bookmarkEnd w:id="77"/>
      <w:r>
        <w:rPr>
          <w:rFonts w:hint="eastAsia" w:ascii="楷体" w:hAnsi="楷体" w:eastAsia="楷体" w:cs="楷体"/>
          <w:sz w:val="32"/>
          <w:szCs w:val="32"/>
        </w:rPr>
        <w:t>。</w:t>
      </w:r>
      <w:bookmarkEnd w:id="78"/>
      <w:bookmarkEnd w:id="79"/>
      <w:bookmarkEnd w:id="80"/>
      <w:bookmarkEnd w:id="81"/>
    </w:p>
    <w:p>
      <w:pPr>
        <w:ind w:firstLine="640" w:firstLineChars="200"/>
        <w:rPr>
          <w:rFonts w:ascii="仿宋_GB2312" w:hAnsi="ˎ̥" w:eastAsia="仿宋_GB2312"/>
          <w:sz w:val="32"/>
          <w:szCs w:val="32"/>
        </w:rPr>
      </w:pPr>
      <w:r>
        <w:rPr>
          <w:rFonts w:hint="eastAsia" w:ascii="仿宋_GB2312" w:hAnsi="ˎ̥" w:eastAsia="仿宋_GB2312"/>
          <w:sz w:val="32"/>
          <w:szCs w:val="32"/>
        </w:rPr>
        <w:t>2021年度一般公共预算财政拨款支出29,762.95万元，占本年支出合计的</w:t>
      </w:r>
      <w:r>
        <w:rPr>
          <w:rFonts w:hint="eastAsia" w:ascii="仿宋_GB2312" w:hAnsi="ˎ̥" w:eastAsia="仿宋_GB2312"/>
          <w:sz w:val="32"/>
          <w:szCs w:val="32"/>
          <w:lang w:val="en-US" w:eastAsia="zh-CN"/>
        </w:rPr>
        <w:t>75.21</w:t>
      </w:r>
      <w:r>
        <w:rPr>
          <w:rFonts w:hint="eastAsia" w:ascii="仿宋_GB2312" w:hAnsi="ˎ̥" w:eastAsia="仿宋_GB2312"/>
          <w:sz w:val="32"/>
          <w:szCs w:val="32"/>
        </w:rPr>
        <w:t>%。与2020年度相比，一般公共预算财政拨款支出增加10,</w:t>
      </w:r>
      <w:r>
        <w:rPr>
          <w:rFonts w:hint="eastAsia" w:ascii="仿宋_GB2312" w:hAnsi="ˎ̥" w:eastAsia="仿宋_GB2312"/>
          <w:sz w:val="32"/>
          <w:szCs w:val="32"/>
          <w:lang w:val="en-US" w:eastAsia="zh-CN"/>
        </w:rPr>
        <w:t>530</w:t>
      </w:r>
      <w:r>
        <w:rPr>
          <w:rFonts w:hint="eastAsia" w:ascii="仿宋_GB2312" w:hAnsi="ˎ̥" w:eastAsia="仿宋_GB2312"/>
          <w:sz w:val="32"/>
          <w:szCs w:val="32"/>
        </w:rPr>
        <w:t>.56万元，增长54.</w:t>
      </w:r>
      <w:r>
        <w:rPr>
          <w:rFonts w:hint="eastAsia" w:ascii="仿宋_GB2312" w:hAnsi="ˎ̥" w:eastAsia="仿宋_GB2312"/>
          <w:sz w:val="32"/>
          <w:szCs w:val="32"/>
          <w:lang w:val="en-US" w:eastAsia="zh-CN"/>
        </w:rPr>
        <w:t>75</w:t>
      </w:r>
      <w:r>
        <w:rPr>
          <w:rFonts w:hint="eastAsia" w:ascii="仿宋_GB2312" w:hAnsi="ˎ̥" w:eastAsia="仿宋_GB2312"/>
          <w:sz w:val="32"/>
          <w:szCs w:val="32"/>
        </w:rPr>
        <w:t>%，主要原因</w:t>
      </w:r>
      <w:r>
        <w:rPr>
          <w:rFonts w:hint="eastAsia" w:ascii="仿宋_GB2312" w:hAnsi="仿宋_GB2312" w:eastAsia="仿宋_GB2312" w:cs="仿宋_GB2312"/>
          <w:bCs/>
          <w:sz w:val="32"/>
          <w:szCs w:val="32"/>
        </w:rPr>
        <w:t>是现代职业教育质量提升专项资金项目、教育发展专项资金项目等行政事业类项目支出比上年增加了10,332.39万元</w:t>
      </w:r>
      <w:r>
        <w:rPr>
          <w:rFonts w:hint="eastAsia" w:ascii="仿宋_GB2312" w:hAnsi="ˎ̥" w:eastAsia="仿宋_GB2312"/>
          <w:sz w:val="32"/>
          <w:szCs w:val="32"/>
        </w:rPr>
        <w:t>。</w:t>
      </w:r>
      <w:r>
        <w:rPr>
          <w:rFonts w:hint="eastAsia" w:ascii="仿宋_GB2312" w:hAnsi="仿宋_GB2312" w:eastAsia="仿宋_GB2312" w:cs="仿宋_GB2312"/>
          <w:bCs/>
          <w:sz w:val="32"/>
          <w:szCs w:val="32"/>
        </w:rPr>
        <w:t>主要用于学生奖助学金、教学改革和能力比赛、课程建设、实训室改造及设备购置、教学楼建设、基础设施维护等方面支出，全面提升学院办学条件。</w:t>
      </w:r>
    </w:p>
    <w:p>
      <w:pPr>
        <w:ind w:firstLine="640" w:firstLineChars="200"/>
        <w:rPr>
          <w:rFonts w:ascii="楷体" w:hAnsi="楷体" w:eastAsia="楷体" w:cs="楷体"/>
          <w:sz w:val="32"/>
          <w:szCs w:val="32"/>
        </w:rPr>
      </w:pPr>
      <w:bookmarkStart w:id="82" w:name="_Toc2711_WPSOffice_Level2"/>
      <w:bookmarkStart w:id="83" w:name="_Toc18793_WPSOffice_Level2"/>
      <w:bookmarkStart w:id="84" w:name="_Toc19075_WPSOffice_Level2"/>
      <w:bookmarkStart w:id="85" w:name="_Toc23864_WPSOffice_Level2"/>
      <w:bookmarkStart w:id="86" w:name="_Toc27767_WPSOffice_Level2"/>
      <w:bookmarkStart w:id="87" w:name="_Toc19535_WPSOffice_Level2"/>
      <w:r>
        <w:rPr>
          <w:rFonts w:hint="eastAsia" w:ascii="楷体" w:hAnsi="楷体" w:eastAsia="楷体" w:cs="楷体"/>
          <w:sz w:val="32"/>
          <w:szCs w:val="32"/>
        </w:rPr>
        <w:t>（二）一般公共预算财政拨款支出决算结构情况</w:t>
      </w:r>
      <w:bookmarkEnd w:id="82"/>
      <w:bookmarkEnd w:id="83"/>
      <w:r>
        <w:rPr>
          <w:rFonts w:hint="eastAsia" w:ascii="楷体" w:hAnsi="楷体" w:eastAsia="楷体" w:cs="楷体"/>
          <w:sz w:val="32"/>
          <w:szCs w:val="32"/>
        </w:rPr>
        <w:t>。</w:t>
      </w:r>
      <w:bookmarkEnd w:id="84"/>
      <w:bookmarkEnd w:id="85"/>
      <w:bookmarkEnd w:id="86"/>
      <w:bookmarkEnd w:id="87"/>
    </w:p>
    <w:p>
      <w:pPr>
        <w:ind w:firstLine="640" w:firstLineChars="200"/>
        <w:rPr>
          <w:rFonts w:ascii="仿宋_GB2312" w:hAnsi="ˎ̥" w:eastAsia="仿宋_GB2312"/>
          <w:sz w:val="32"/>
          <w:szCs w:val="32"/>
        </w:rPr>
      </w:pPr>
      <w:r>
        <w:rPr>
          <w:rFonts w:hint="eastAsia" w:ascii="仿宋_GB2312" w:hAnsi="ˎ̥" w:eastAsia="仿宋_GB2312"/>
          <w:sz w:val="32"/>
          <w:szCs w:val="32"/>
        </w:rPr>
        <w:t>2021年度一般公共预算财政拨款支出29，762.95万元，主要用于以下方面：一般公共服务（类）支出1.6万元，占0.01%；教育支出（类）支出27,894.92万元，占93.72%；科学技术支出（类）7.54万元，占0.03%；社会保障和就业（类）支出995.45万元，占3.34%；卫生健康支出（类）348.8万元，占1.17%;住房保障（类）支出514.64万元，占1.73%。</w:t>
      </w:r>
    </w:p>
    <w:p>
      <w:pPr>
        <w:ind w:firstLine="640" w:firstLineChars="200"/>
        <w:rPr>
          <w:rFonts w:ascii="楷体" w:hAnsi="楷体" w:eastAsia="楷体" w:cs="楷体"/>
          <w:sz w:val="32"/>
          <w:szCs w:val="32"/>
        </w:rPr>
      </w:pPr>
      <w:bookmarkStart w:id="88" w:name="_Toc22318_WPSOffice_Level2"/>
      <w:bookmarkStart w:id="89" w:name="_Toc9502_WPSOffice_Level2"/>
      <w:bookmarkStart w:id="90" w:name="_Toc25136_WPSOffice_Level2"/>
      <w:bookmarkStart w:id="91" w:name="_Toc15415_WPSOffice_Level2"/>
      <w:bookmarkStart w:id="92" w:name="_Toc21701_WPSOffice_Level2"/>
      <w:bookmarkStart w:id="93" w:name="_Toc29364_WPSOffice_Level2"/>
      <w:r>
        <w:rPr>
          <w:rFonts w:hint="eastAsia" w:ascii="楷体" w:hAnsi="楷体" w:eastAsia="楷体" w:cs="楷体"/>
          <w:sz w:val="32"/>
          <w:szCs w:val="32"/>
        </w:rPr>
        <w:t>（三）一般公共预算财政拨款支出决算具体情况。</w:t>
      </w:r>
      <w:bookmarkEnd w:id="88"/>
      <w:bookmarkEnd w:id="89"/>
      <w:bookmarkEnd w:id="90"/>
      <w:bookmarkEnd w:id="91"/>
      <w:bookmarkEnd w:id="92"/>
      <w:bookmarkEnd w:id="93"/>
    </w:p>
    <w:p>
      <w:pPr>
        <w:ind w:firstLine="640" w:firstLineChars="200"/>
        <w:rPr>
          <w:rFonts w:ascii="仿宋_GB2312" w:hAnsi="ˎ̥" w:eastAsia="仿宋_GB2312"/>
          <w:sz w:val="32"/>
          <w:szCs w:val="32"/>
        </w:rPr>
      </w:pPr>
      <w:r>
        <w:rPr>
          <w:rFonts w:hint="eastAsia" w:ascii="仿宋_GB2312" w:hAnsi="ˎ̥" w:eastAsia="仿宋_GB2312"/>
          <w:sz w:val="32"/>
          <w:szCs w:val="32"/>
        </w:rPr>
        <w:t>2021年度一般公共预算财政拨款支出年初预算为31,017.71万元，支出决算为29,762.95万元，完成年初预算的95.95%。其中：</w:t>
      </w:r>
    </w:p>
    <w:p>
      <w:pPr>
        <w:ind w:firstLine="640" w:firstLineChars="200"/>
        <w:rPr>
          <w:rFonts w:ascii="仿宋_GB2312" w:hAnsi="ˎ̥" w:eastAsia="仿宋_GB2312"/>
          <w:b w:val="0"/>
          <w:bCs w:val="0"/>
          <w:sz w:val="32"/>
          <w:szCs w:val="32"/>
        </w:rPr>
      </w:pPr>
      <w:r>
        <w:rPr>
          <w:rFonts w:hint="eastAsia" w:ascii="仿宋_GB2312" w:hAnsi="ˎ̥" w:eastAsia="仿宋_GB2312"/>
          <w:b w:val="0"/>
          <w:bCs w:val="0"/>
          <w:sz w:val="32"/>
          <w:szCs w:val="32"/>
        </w:rPr>
        <w:t>1.一般公共服务（类）人大事务（款）行政运行（项）。</w:t>
      </w:r>
    </w:p>
    <w:p>
      <w:pPr>
        <w:rPr>
          <w:rFonts w:ascii="仿宋_GB2312" w:hAnsi="ˎ̥" w:eastAsia="仿宋_GB2312"/>
          <w:sz w:val="32"/>
          <w:szCs w:val="32"/>
        </w:rPr>
      </w:pPr>
      <w:r>
        <w:rPr>
          <w:rFonts w:hint="eastAsia" w:ascii="仿宋_GB2312" w:hAnsi="ˎ̥" w:eastAsia="仿宋_GB2312"/>
          <w:sz w:val="32"/>
          <w:szCs w:val="32"/>
        </w:rPr>
        <w:t>年初预算为1.6万元，支出决算为1.6万元，完成年初预算的100%。</w:t>
      </w:r>
    </w:p>
    <w:p>
      <w:pPr>
        <w:widowControl/>
        <w:ind w:firstLine="640" w:firstLineChars="200"/>
        <w:rPr>
          <w:rFonts w:ascii="仿宋" w:hAnsi="仿宋" w:eastAsia="仿宋" w:cs="仿宋"/>
          <w:bCs/>
          <w:sz w:val="32"/>
          <w:szCs w:val="32"/>
        </w:rPr>
      </w:pPr>
      <w:r>
        <w:rPr>
          <w:rFonts w:hint="eastAsia" w:ascii="仿宋" w:hAnsi="仿宋" w:eastAsia="仿宋" w:cs="仿宋"/>
          <w:b w:val="0"/>
          <w:bCs w:val="0"/>
          <w:sz w:val="32"/>
          <w:szCs w:val="32"/>
          <w:shd w:val="clear" w:color="auto" w:fill="FFFFFF"/>
        </w:rPr>
        <w:t>2.教育支出（类）职业教育（款）高等职业教育（项）。</w:t>
      </w:r>
      <w:r>
        <w:rPr>
          <w:rFonts w:hint="eastAsia" w:ascii="仿宋" w:hAnsi="仿宋" w:eastAsia="仿宋" w:cs="仿宋"/>
          <w:bCs/>
          <w:sz w:val="32"/>
          <w:szCs w:val="32"/>
        </w:rPr>
        <w:t>年初预算数为29,123.64万元，支出决算数为27,894.92万元，完成年初预算的95.78%。决算数小于预算数的主要原因是：</w:t>
      </w:r>
      <w:r>
        <w:rPr>
          <w:rFonts w:hint="eastAsia" w:ascii="仿宋_GB2312" w:hAnsi="仿宋_GB2312" w:eastAsia="仿宋_GB2312" w:cs="仿宋_GB2312"/>
          <w:bCs/>
          <w:sz w:val="32"/>
          <w:szCs w:val="32"/>
        </w:rPr>
        <w:t>一是一般公共预算资金项目预算指标532.97万元，继续结转2022年度使用，其中，现代职业教育质量提升计划中央专项资金项目326.92万元、学生资助补助经费项目100.45万元、学生资助补助项目105.60万元；二是财政收回一般公共预算资金项目预算指标697.18万元，主要包括教育发展专项资金项目666.65万元、设备（装备）购置与运行维护项目21.12万元等；</w:t>
      </w:r>
    </w:p>
    <w:p>
      <w:pPr>
        <w:widowControl/>
        <w:ind w:firstLine="640" w:firstLineChars="200"/>
        <w:rPr>
          <w:rFonts w:ascii="仿宋" w:hAnsi="仿宋" w:eastAsia="仿宋" w:cs="仿宋"/>
          <w:bCs/>
          <w:sz w:val="32"/>
          <w:szCs w:val="32"/>
        </w:rPr>
      </w:pPr>
      <w:r>
        <w:rPr>
          <w:rFonts w:hint="eastAsia" w:ascii="仿宋" w:hAnsi="仿宋" w:eastAsia="仿宋" w:cs="仿宋"/>
          <w:bCs/>
          <w:sz w:val="32"/>
          <w:szCs w:val="32"/>
        </w:rPr>
        <w:t>3.科学技术支出（类）基础研究（款)自然科学基金(项）。年初预算数为32.15万，支出决算数为7.54万，完成年初预算数的23.45%。决算数小于预算数的主要原因是课题尚处在调研研究阶段，正加紧按计划有序推进。</w:t>
      </w:r>
    </w:p>
    <w:p>
      <w:pPr>
        <w:widowControl/>
        <w:ind w:firstLine="640" w:firstLineChars="200"/>
        <w:jc w:val="left"/>
        <w:rPr>
          <w:rFonts w:ascii="仿宋" w:hAnsi="仿宋" w:eastAsia="仿宋" w:cs="仿宋"/>
          <w:bCs/>
          <w:sz w:val="32"/>
          <w:szCs w:val="32"/>
        </w:rPr>
      </w:pPr>
      <w:r>
        <w:rPr>
          <w:rFonts w:hint="eastAsia" w:ascii="仿宋" w:hAnsi="仿宋" w:eastAsia="仿宋" w:cs="仿宋"/>
          <w:b w:val="0"/>
          <w:bCs w:val="0"/>
          <w:sz w:val="32"/>
          <w:szCs w:val="32"/>
          <w:shd w:val="clear" w:color="auto" w:fill="FFFFFF"/>
        </w:rPr>
        <w:t>4.社会保障和就业支出（类）行政事业单位养老支出（款）机关事业单位基本养老保险缴费支出（项）。</w:t>
      </w:r>
      <w:r>
        <w:rPr>
          <w:rFonts w:hint="eastAsia" w:ascii="仿宋" w:hAnsi="仿宋" w:eastAsia="仿宋" w:cs="仿宋"/>
          <w:bCs/>
          <w:sz w:val="32"/>
          <w:szCs w:val="32"/>
        </w:rPr>
        <w:t>年初预算数为656.57万元，支出决算数为656.57万元，完成年初预算数的100%。</w:t>
      </w:r>
    </w:p>
    <w:p>
      <w:pPr>
        <w:widowControl/>
        <w:numPr>
          <w:ilvl w:val="0"/>
          <w:numId w:val="0"/>
        </w:numPr>
        <w:spacing w:afterAutospacing="0" w:line="240" w:lineRule="auto"/>
        <w:ind w:firstLine="640" w:firstLineChars="200"/>
        <w:jc w:val="left"/>
        <w:rPr>
          <w:rFonts w:hint="eastAsia" w:ascii="仿宋" w:hAnsi="仿宋" w:eastAsia="仿宋" w:cs="仿宋"/>
          <w:bCs/>
          <w:sz w:val="32"/>
          <w:szCs w:val="32"/>
          <w:lang w:val="en-US" w:eastAsia="zh-CN"/>
        </w:rPr>
      </w:pPr>
      <w:r>
        <w:rPr>
          <w:rFonts w:hint="eastAsia" w:ascii="仿宋" w:hAnsi="仿宋" w:eastAsia="仿宋" w:cs="仿宋"/>
          <w:b w:val="0"/>
          <w:bCs w:val="0"/>
          <w:sz w:val="32"/>
          <w:szCs w:val="32"/>
          <w:shd w:val="clear" w:color="auto" w:fill="FFFFFF"/>
          <w:lang w:val="en-US" w:eastAsia="zh-CN"/>
        </w:rPr>
        <w:t>5.</w:t>
      </w:r>
      <w:r>
        <w:rPr>
          <w:rFonts w:hint="eastAsia" w:ascii="仿宋" w:hAnsi="仿宋" w:eastAsia="仿宋" w:cs="仿宋"/>
          <w:b w:val="0"/>
          <w:bCs w:val="0"/>
          <w:sz w:val="32"/>
          <w:szCs w:val="32"/>
          <w:shd w:val="clear" w:color="auto" w:fill="FFFFFF"/>
        </w:rPr>
        <w:t>社会保障和就业支出（类）行政事业单位养老支出（款）机关事业单位职业年金缴费支出（项）。</w:t>
      </w:r>
      <w:r>
        <w:rPr>
          <w:rFonts w:hint="eastAsia" w:ascii="仿宋" w:hAnsi="仿宋" w:eastAsia="仿宋" w:cs="仿宋"/>
          <w:bCs/>
          <w:sz w:val="32"/>
          <w:szCs w:val="32"/>
        </w:rPr>
        <w:t>年初预算数328.28万元，支出决算数为328.28万元，完成年初预算数的100%。</w:t>
      </w:r>
      <w:r>
        <w:rPr>
          <w:rFonts w:hint="eastAsia" w:ascii="仿宋" w:hAnsi="仿宋" w:eastAsia="仿宋" w:cs="仿宋"/>
          <w:bCs/>
          <w:sz w:val="32"/>
          <w:szCs w:val="32"/>
          <w:lang w:val="en-US" w:eastAsia="zh-CN"/>
        </w:rPr>
        <w:t xml:space="preserve">         </w:t>
      </w:r>
    </w:p>
    <w:p>
      <w:pPr>
        <w:widowControl/>
        <w:numPr>
          <w:ilvl w:val="0"/>
          <w:numId w:val="0"/>
        </w:numPr>
        <w:spacing w:afterAutospacing="0" w:line="240" w:lineRule="auto"/>
        <w:ind w:firstLine="640" w:firstLineChars="200"/>
        <w:jc w:val="left"/>
        <w:rPr>
          <w:rFonts w:ascii="仿宋" w:hAnsi="仿宋" w:eastAsia="仿宋" w:cs="仿宋"/>
          <w:b w:val="0"/>
          <w:bCs w:val="0"/>
          <w:color w:val="auto"/>
          <w:sz w:val="32"/>
          <w:szCs w:val="32"/>
        </w:rPr>
      </w:pPr>
      <w:r>
        <w:rPr>
          <w:rFonts w:hint="eastAsia" w:ascii="仿宋" w:hAnsi="仿宋" w:eastAsia="仿宋" w:cs="仿宋"/>
          <w:b w:val="0"/>
          <w:bCs w:val="0"/>
          <w:sz w:val="32"/>
          <w:szCs w:val="32"/>
          <w:shd w:val="clear" w:color="auto" w:fill="FFFFFF"/>
          <w:lang w:val="en-US" w:eastAsia="zh-CN"/>
        </w:rPr>
        <w:t>6.</w:t>
      </w:r>
      <w:r>
        <w:rPr>
          <w:rFonts w:hint="eastAsia" w:ascii="仿宋" w:hAnsi="仿宋" w:eastAsia="仿宋" w:cs="仿宋"/>
          <w:b w:val="0"/>
          <w:bCs w:val="0"/>
          <w:sz w:val="32"/>
          <w:szCs w:val="32"/>
          <w:shd w:val="clear" w:color="auto" w:fill="FFFFFF"/>
        </w:rPr>
        <w:t>社会保障和就业支出（类）就业补助（款）职业培训补贴（项）。</w:t>
      </w:r>
      <w:r>
        <w:rPr>
          <w:rFonts w:hint="eastAsia" w:ascii="仿宋" w:hAnsi="仿宋" w:eastAsia="仿宋" w:cs="仿宋"/>
          <w:b w:val="0"/>
          <w:bCs w:val="0"/>
          <w:sz w:val="32"/>
          <w:szCs w:val="32"/>
        </w:rPr>
        <w:t>年初预算数为8.63万</w:t>
      </w:r>
      <w:r>
        <w:rPr>
          <w:rFonts w:hint="eastAsia" w:ascii="仿宋" w:hAnsi="仿宋" w:eastAsia="仿宋" w:cs="仿宋"/>
          <w:bCs/>
          <w:sz w:val="32"/>
          <w:szCs w:val="32"/>
        </w:rPr>
        <w:t>元，支出决算数为7.23万元，完成年初预算数的 83.78%，决算数小于预算数的主要原因</w:t>
      </w:r>
      <w:r>
        <w:rPr>
          <w:rFonts w:hint="eastAsia" w:ascii="仿宋" w:hAnsi="仿宋" w:eastAsia="仿宋" w:cs="仿宋"/>
          <w:b w:val="0"/>
          <w:bCs w:val="0"/>
          <w:color w:val="auto"/>
          <w:sz w:val="32"/>
          <w:szCs w:val="32"/>
        </w:rPr>
        <w:t>是该项资金主要用于</w:t>
      </w:r>
      <w:r>
        <w:rPr>
          <w:rFonts w:hint="eastAsia" w:ascii="仿宋" w:hAnsi="仿宋" w:eastAsia="仿宋" w:cs="仿宋"/>
          <w:b w:val="0"/>
          <w:bCs w:val="0"/>
          <w:color w:val="auto"/>
          <w:sz w:val="32"/>
          <w:szCs w:val="32"/>
          <w:lang w:val="en-US" w:eastAsia="zh-CN"/>
        </w:rPr>
        <w:t>酒店管理专业专科班学生学费及教材费补贴，由于教材采用电子书，未产生教材费用</w:t>
      </w:r>
      <w:r>
        <w:rPr>
          <w:rFonts w:hint="eastAsia" w:ascii="仿宋" w:hAnsi="仿宋" w:eastAsia="仿宋" w:cs="仿宋"/>
          <w:b w:val="0"/>
          <w:bCs w:val="0"/>
          <w:color w:val="auto"/>
          <w:sz w:val="32"/>
          <w:szCs w:val="32"/>
        </w:rPr>
        <w:t>。</w:t>
      </w:r>
    </w:p>
    <w:p>
      <w:pPr>
        <w:widowControl/>
        <w:numPr>
          <w:ilvl w:val="0"/>
          <w:numId w:val="0"/>
        </w:numPr>
        <w:spacing w:afterAutospacing="0" w:line="240" w:lineRule="auto"/>
        <w:ind w:firstLine="640" w:firstLineChars="200"/>
        <w:jc w:val="left"/>
        <w:rPr>
          <w:rFonts w:hint="eastAsia" w:ascii="仿宋" w:hAnsi="仿宋" w:eastAsia="仿宋" w:cs="仿宋"/>
          <w:bCs/>
          <w:sz w:val="32"/>
          <w:szCs w:val="32"/>
        </w:rPr>
      </w:pPr>
      <w:r>
        <w:rPr>
          <w:rFonts w:hint="eastAsia" w:ascii="仿宋" w:hAnsi="仿宋" w:eastAsia="仿宋" w:cs="仿宋"/>
          <w:b w:val="0"/>
          <w:bCs w:val="0"/>
          <w:sz w:val="32"/>
          <w:szCs w:val="32"/>
          <w:shd w:val="clear" w:color="auto" w:fill="FFFFFF"/>
          <w:lang w:val="en-US" w:eastAsia="zh-CN"/>
        </w:rPr>
        <w:t>7.</w:t>
      </w:r>
      <w:r>
        <w:rPr>
          <w:rFonts w:hint="eastAsia" w:ascii="仿宋" w:hAnsi="仿宋" w:eastAsia="仿宋" w:cs="仿宋"/>
          <w:b w:val="0"/>
          <w:bCs w:val="0"/>
          <w:sz w:val="32"/>
          <w:szCs w:val="32"/>
          <w:shd w:val="clear" w:color="auto" w:fill="FFFFFF"/>
        </w:rPr>
        <w:t>社会保障和就业支出（类）抚恤（款） 其他优抚支出（项）。</w:t>
      </w:r>
      <w:r>
        <w:rPr>
          <w:rFonts w:hint="eastAsia" w:ascii="仿宋" w:hAnsi="仿宋" w:eastAsia="仿宋" w:cs="仿宋"/>
          <w:bCs/>
          <w:sz w:val="32"/>
          <w:szCs w:val="32"/>
        </w:rPr>
        <w:t>年初预算数为3.41万元，支出决算数为3.37万元，完成年初预算数的98.82%，主要原因是财政收回一般公共预算项目指标0.04万元。</w:t>
      </w:r>
    </w:p>
    <w:p>
      <w:pPr>
        <w:widowControl/>
        <w:numPr>
          <w:ilvl w:val="0"/>
          <w:numId w:val="0"/>
        </w:numPr>
        <w:spacing w:afterAutospacing="0" w:line="240" w:lineRule="auto"/>
        <w:ind w:firstLine="640" w:firstLineChars="200"/>
        <w:jc w:val="left"/>
        <w:rPr>
          <w:rFonts w:ascii="仿宋" w:hAnsi="仿宋" w:eastAsia="仿宋" w:cs="仿宋"/>
          <w:bCs/>
          <w:sz w:val="32"/>
          <w:szCs w:val="32"/>
        </w:rPr>
      </w:pPr>
      <w:r>
        <w:rPr>
          <w:rFonts w:hint="eastAsia" w:ascii="仿宋" w:hAnsi="仿宋" w:eastAsia="仿宋" w:cs="仿宋"/>
          <w:b w:val="0"/>
          <w:bCs w:val="0"/>
          <w:sz w:val="32"/>
          <w:szCs w:val="32"/>
          <w:shd w:val="clear" w:color="auto" w:fill="FFFFFF"/>
          <w:lang w:val="en-US" w:eastAsia="zh-CN"/>
        </w:rPr>
        <w:t>8.</w:t>
      </w:r>
      <w:r>
        <w:rPr>
          <w:rFonts w:hint="eastAsia" w:ascii="仿宋" w:hAnsi="仿宋" w:eastAsia="仿宋" w:cs="仿宋"/>
          <w:b w:val="0"/>
          <w:bCs w:val="0"/>
          <w:sz w:val="32"/>
          <w:szCs w:val="32"/>
          <w:shd w:val="clear" w:color="auto" w:fill="FFFFFF"/>
        </w:rPr>
        <w:t>卫生健康支出（类）行政事业单位医疗（款）事业单位医疗。</w:t>
      </w:r>
      <w:r>
        <w:rPr>
          <w:rFonts w:hint="eastAsia" w:ascii="仿宋" w:hAnsi="仿宋" w:eastAsia="仿宋" w:cs="仿宋"/>
          <w:bCs/>
          <w:sz w:val="32"/>
          <w:szCs w:val="32"/>
        </w:rPr>
        <w:t>年初预算数为348.8万元，支出决算数为348.8万元，完成年初预算数的100%。</w:t>
      </w:r>
    </w:p>
    <w:p>
      <w:pPr>
        <w:widowControl/>
        <w:numPr>
          <w:ilvl w:val="0"/>
          <w:numId w:val="0"/>
        </w:numPr>
        <w:spacing w:afterAutospacing="0" w:line="240" w:lineRule="auto"/>
        <w:ind w:firstLine="640" w:firstLineChars="200"/>
        <w:jc w:val="left"/>
        <w:rPr>
          <w:rFonts w:hint="eastAsia" w:ascii="仿宋_GB2312" w:hAnsi="仿宋_GB2312" w:eastAsia="仿宋_GB2312" w:cs="仿宋_GB2312"/>
          <w:bCs/>
          <w:sz w:val="32"/>
          <w:szCs w:val="32"/>
        </w:rPr>
      </w:pPr>
      <w:r>
        <w:rPr>
          <w:rFonts w:hint="eastAsia" w:ascii="仿宋" w:hAnsi="仿宋" w:eastAsia="仿宋" w:cs="仿宋"/>
          <w:b w:val="0"/>
          <w:bCs w:val="0"/>
          <w:sz w:val="32"/>
          <w:szCs w:val="32"/>
          <w:shd w:val="clear" w:color="auto" w:fill="FFFFFF"/>
          <w:lang w:val="en-US" w:eastAsia="zh-CN"/>
        </w:rPr>
        <w:t>9.</w:t>
      </w:r>
      <w:r>
        <w:rPr>
          <w:rFonts w:hint="eastAsia" w:ascii="仿宋" w:hAnsi="仿宋" w:eastAsia="仿宋" w:cs="仿宋"/>
          <w:b w:val="0"/>
          <w:bCs w:val="0"/>
          <w:sz w:val="32"/>
          <w:szCs w:val="32"/>
          <w:shd w:val="clear" w:color="auto" w:fill="FFFFFF"/>
        </w:rPr>
        <w:t>住房保障支出（类）住房改革支出（款）住房公积金（项）。</w:t>
      </w:r>
      <w:r>
        <w:rPr>
          <w:rFonts w:hint="eastAsia" w:ascii="仿宋_GB2312" w:hAnsi="仿宋_GB2312" w:eastAsia="仿宋_GB2312" w:cs="仿宋_GB2312"/>
          <w:bCs/>
          <w:sz w:val="32"/>
          <w:szCs w:val="32"/>
        </w:rPr>
        <w:t>年初预算数为514.64万元，支出决算数为514.64万元，完成年初预算数的100%。</w:t>
      </w:r>
    </w:p>
    <w:p>
      <w:pPr>
        <w:widowControl/>
        <w:numPr>
          <w:ilvl w:val="0"/>
          <w:numId w:val="0"/>
        </w:numPr>
        <w:spacing w:afterAutospacing="0" w:line="240" w:lineRule="auto"/>
        <w:ind w:firstLine="640" w:firstLineChars="200"/>
        <w:jc w:val="left"/>
        <w:rPr>
          <w:rFonts w:ascii="黑体" w:hAnsi="黑体" w:eastAsia="黑体" w:cs="黑体"/>
          <w:sz w:val="32"/>
          <w:szCs w:val="32"/>
        </w:rPr>
      </w:pPr>
      <w:r>
        <w:rPr>
          <w:rFonts w:hint="eastAsia" w:ascii="黑体" w:hAnsi="黑体" w:eastAsia="黑体" w:cs="黑体"/>
          <w:bCs/>
          <w:sz w:val="32"/>
          <w:szCs w:val="32"/>
        </w:rPr>
        <w:t>六、一般公共预算财政拨款基本支出决算情况说明。</w:t>
      </w:r>
    </w:p>
    <w:p>
      <w:pPr>
        <w:tabs>
          <w:tab w:val="center" w:pos="4473"/>
        </w:tabs>
        <w:ind w:firstLine="640" w:firstLineChars="200"/>
        <w:rPr>
          <w:rFonts w:ascii="仿宋_GB2312" w:hAnsi="ˎ̥" w:eastAsia="仿宋_GB2312"/>
          <w:sz w:val="32"/>
          <w:szCs w:val="32"/>
        </w:rPr>
      </w:pPr>
      <w:r>
        <w:rPr>
          <w:rFonts w:hint="eastAsia" w:ascii="仿宋_GB2312" w:hAnsi="ˎ̥" w:eastAsia="仿宋_GB2312"/>
          <w:sz w:val="32"/>
          <w:szCs w:val="32"/>
        </w:rPr>
        <w:t>2021年度财政拨款基本支出10,536.91万元，其中：人员经费</w:t>
      </w:r>
      <w:r>
        <w:rPr>
          <w:rFonts w:ascii="仿宋_GB2312" w:hAnsi="ˎ̥" w:eastAsia="仿宋_GB2312"/>
          <w:sz w:val="32"/>
          <w:szCs w:val="32"/>
        </w:rPr>
        <w:t>7,684.08</w:t>
      </w:r>
      <w:r>
        <w:rPr>
          <w:rFonts w:hint="eastAsia" w:ascii="仿宋_GB2312" w:hAnsi="ˎ̥" w:eastAsia="仿宋_GB2312"/>
          <w:sz w:val="32"/>
          <w:szCs w:val="32"/>
        </w:rPr>
        <w:t>万元，主要包括：工资福利支出中的基本工资、津贴补贴、绩效工资、机关事业单位基本养老保险缴费、职业年金缴费、职工基本医疗保险缴费、其他社会保障缴费、住房公积金、医疗费、其他工资福利支出；对个人和家庭的补助中的生活补助、奖励金、其他对个人和家庭的补助。公用经费2,852.83 万元，主要包括：商品和服务支出中的办公费、印刷费、手续费、水费、电费、邮电费、物业管理费、差旅费、因公出国（境）费用、维修（护）费、租赁费、会议费、培训费、公务接待费、专用材料费、专用燃料费、劳务费、工会经费、公务用车运行维护费、其他交通费用、其他商品和服务支出；资本性支出中的办公设备购置、专用设备购置、其他资本性支出等。</w:t>
      </w:r>
    </w:p>
    <w:p>
      <w:pPr>
        <w:tabs>
          <w:tab w:val="center" w:pos="4473"/>
        </w:tabs>
        <w:ind w:firstLine="627" w:firstLineChars="196"/>
        <w:rPr>
          <w:rFonts w:ascii="黑体" w:hAnsi="黑体" w:eastAsia="黑体" w:cs="黑体"/>
          <w:bCs/>
          <w:sz w:val="32"/>
          <w:szCs w:val="32"/>
        </w:rPr>
      </w:pPr>
      <w:r>
        <w:rPr>
          <w:rFonts w:hint="eastAsia" w:ascii="黑体" w:hAnsi="黑体" w:eastAsia="黑体" w:cs="黑体"/>
          <w:bCs/>
          <w:sz w:val="32"/>
          <w:szCs w:val="32"/>
        </w:rPr>
        <w:t>七、政府性基金预算财政拨款支出决算情况说明</w:t>
      </w:r>
    </w:p>
    <w:p>
      <w:pPr>
        <w:tabs>
          <w:tab w:val="center" w:pos="4473"/>
        </w:tabs>
        <w:ind w:firstLine="627" w:firstLineChars="196"/>
        <w:rPr>
          <w:rFonts w:hint="eastAsia" w:ascii="仿宋_GB2312" w:hAnsi="ˎ̥" w:eastAsia="仿宋_GB2312"/>
          <w:sz w:val="32"/>
          <w:szCs w:val="32"/>
        </w:rPr>
      </w:pPr>
      <w:r>
        <w:rPr>
          <w:rFonts w:hint="eastAsia" w:ascii="仿宋_GB2312" w:hAnsi="ˎ̥" w:eastAsia="仿宋_GB2312"/>
          <w:sz w:val="32"/>
          <w:szCs w:val="32"/>
        </w:rPr>
        <w:t>无</w:t>
      </w:r>
    </w:p>
    <w:p>
      <w:pPr>
        <w:tabs>
          <w:tab w:val="center" w:pos="4473"/>
        </w:tabs>
        <w:ind w:firstLine="627" w:firstLineChars="196"/>
        <w:rPr>
          <w:rFonts w:hint="eastAsia" w:ascii="仿宋_GB2312" w:hAnsi="ˎ̥" w:eastAsia="仿宋_GB2312"/>
          <w:sz w:val="32"/>
          <w:szCs w:val="32"/>
        </w:rPr>
      </w:pPr>
      <w:r>
        <w:rPr>
          <w:rFonts w:hint="eastAsia" w:ascii="仿宋_GB2312" w:hAnsi="ˎ̥" w:eastAsia="仿宋_GB2312"/>
          <w:sz w:val="32"/>
          <w:szCs w:val="32"/>
        </w:rPr>
        <w:t>八、国有资本经营预算财政拨款支出决算情况说明</w:t>
      </w:r>
    </w:p>
    <w:p>
      <w:pPr>
        <w:tabs>
          <w:tab w:val="center" w:pos="4473"/>
        </w:tabs>
        <w:ind w:firstLine="627" w:firstLineChars="196"/>
        <w:rPr>
          <w:rFonts w:hint="eastAsia" w:ascii="黑体" w:hAnsi="黑体" w:eastAsia="黑体" w:cs="黑体"/>
          <w:bCs/>
          <w:sz w:val="32"/>
          <w:szCs w:val="32"/>
        </w:rPr>
      </w:pPr>
      <w:r>
        <w:rPr>
          <w:rFonts w:hint="eastAsia" w:ascii="仿宋_GB2312" w:hAnsi="ˎ̥" w:eastAsia="仿宋_GB2312"/>
          <w:sz w:val="32"/>
          <w:szCs w:val="32"/>
        </w:rPr>
        <w:t>无</w:t>
      </w:r>
    </w:p>
    <w:p>
      <w:pPr>
        <w:ind w:firstLine="627" w:firstLineChars="196"/>
        <w:rPr>
          <w:rFonts w:ascii="仿宋_GB2312" w:hAnsi="ˎ̥" w:eastAsia="楷体_GB2312"/>
          <w:sz w:val="32"/>
          <w:szCs w:val="32"/>
        </w:rPr>
      </w:pPr>
      <w:r>
        <w:rPr>
          <w:rFonts w:hint="eastAsia" w:ascii="黑体" w:hAnsi="黑体" w:eastAsia="黑体" w:cs="黑体"/>
          <w:bCs/>
          <w:sz w:val="32"/>
          <w:szCs w:val="32"/>
        </w:rPr>
        <w:t>九、一般公共预算财政拨款“三公”经费支出决算情况说明</w:t>
      </w:r>
    </w:p>
    <w:p>
      <w:pPr>
        <w:ind w:firstLine="640" w:firstLineChars="200"/>
        <w:rPr>
          <w:rFonts w:ascii="楷体" w:hAnsi="楷体" w:eastAsia="楷体" w:cs="楷体"/>
          <w:b w:val="0"/>
          <w:bCs/>
          <w:sz w:val="32"/>
          <w:szCs w:val="32"/>
        </w:rPr>
      </w:pPr>
      <w:r>
        <w:rPr>
          <w:rFonts w:hint="eastAsia" w:ascii="楷体" w:hAnsi="楷体" w:eastAsia="楷体" w:cs="楷体"/>
          <w:b w:val="0"/>
          <w:bCs/>
          <w:sz w:val="32"/>
          <w:szCs w:val="32"/>
        </w:rPr>
        <w:t>（一）一般公共预算财政拨款“三公”经费支出决算总体情况说明。</w:t>
      </w:r>
    </w:p>
    <w:p>
      <w:pPr>
        <w:rPr>
          <w:rFonts w:ascii="仿宋_GB2312" w:hAnsi="ˎ̥" w:eastAsia="仿宋_GB2312"/>
          <w:sz w:val="32"/>
          <w:szCs w:val="32"/>
        </w:rPr>
      </w:pPr>
      <w:r>
        <w:rPr>
          <w:rFonts w:hint="eastAsia" w:ascii="仿宋_GB2312" w:hAnsi="ˎ̥" w:eastAsia="仿宋_GB2312"/>
          <w:sz w:val="32"/>
          <w:szCs w:val="32"/>
        </w:rPr>
        <w:t xml:space="preserve">    2021年度一般公共预算财政拨款“三公”经费支出预算为78.06万元，支出决算为13.84万元，完成预算的17.73%。</w:t>
      </w:r>
    </w:p>
    <w:p>
      <w:pPr>
        <w:rPr>
          <w:rFonts w:ascii="楷体" w:hAnsi="楷体" w:eastAsia="楷体" w:cs="楷体"/>
          <w:b w:val="0"/>
          <w:bCs w:val="0"/>
          <w:sz w:val="32"/>
          <w:szCs w:val="32"/>
        </w:rPr>
      </w:pPr>
      <w:r>
        <w:rPr>
          <w:rFonts w:hint="eastAsia" w:ascii="楷体" w:hAnsi="楷体" w:eastAsia="楷体" w:cs="楷体"/>
          <w:b/>
          <w:bCs/>
          <w:sz w:val="32"/>
          <w:szCs w:val="32"/>
        </w:rPr>
        <w:t xml:space="preserve">    </w:t>
      </w:r>
      <w:r>
        <w:rPr>
          <w:rFonts w:hint="eastAsia" w:ascii="楷体" w:hAnsi="楷体" w:eastAsia="楷体" w:cs="楷体"/>
          <w:b w:val="0"/>
          <w:bCs w:val="0"/>
          <w:sz w:val="32"/>
          <w:szCs w:val="32"/>
        </w:rPr>
        <w:t>（二）一般公共预算财政拨款“三公”经费支出决算具体情况说明。</w:t>
      </w:r>
    </w:p>
    <w:p>
      <w:pPr>
        <w:ind w:firstLine="640" w:firstLineChars="200"/>
        <w:rPr>
          <w:rFonts w:ascii="仿宋_GB2312" w:hAnsi="ˎ̥" w:eastAsia="仿宋_GB2312"/>
          <w:sz w:val="32"/>
          <w:szCs w:val="32"/>
        </w:rPr>
      </w:pPr>
      <w:r>
        <w:rPr>
          <w:rFonts w:hint="eastAsia" w:ascii="仿宋_GB2312" w:hAnsi="ˎ̥" w:eastAsia="仿宋_GB2312"/>
          <w:sz w:val="32"/>
          <w:szCs w:val="32"/>
        </w:rPr>
        <w:t>2021年度一般公共预算财政拨款“三公”经费支出决算中，因公出国（境）费支出决算0.00万元，占0.00%；公务用车购置及运行维护费支出决算11.11万元，占80.27%；公务接待费支出决算2.73万元，占19.73%。具体情况如下：</w:t>
      </w:r>
    </w:p>
    <w:p>
      <w:pPr>
        <w:widowControl/>
        <w:numPr>
          <w:numId w:val="0"/>
        </w:numPr>
        <w:spacing w:afterAutospacing="0" w:line="240" w:lineRule="auto"/>
        <w:ind w:firstLine="640" w:firstLineChars="200"/>
        <w:rPr>
          <w:rFonts w:ascii="仿宋_GB2312" w:hAnsi="ˎ̥" w:eastAsia="仿宋_GB2312"/>
          <w:sz w:val="32"/>
          <w:szCs w:val="32"/>
        </w:rPr>
      </w:pPr>
      <w:r>
        <w:rPr>
          <w:rFonts w:hint="eastAsia" w:ascii="仿宋_GB2312" w:hAnsi="ˎ̥" w:eastAsia="仿宋_GB2312"/>
          <w:b w:val="0"/>
          <w:bCs/>
          <w:sz w:val="32"/>
          <w:szCs w:val="32"/>
          <w:lang w:val="en-US" w:eastAsia="zh-CN"/>
        </w:rPr>
        <w:t>1.</w:t>
      </w:r>
      <w:r>
        <w:rPr>
          <w:rFonts w:hint="eastAsia" w:ascii="仿宋_GB2312" w:hAnsi="ˎ̥" w:eastAsia="仿宋_GB2312"/>
          <w:b w:val="0"/>
          <w:bCs/>
          <w:sz w:val="32"/>
          <w:szCs w:val="32"/>
        </w:rPr>
        <w:t>因公出国（境）费支出</w:t>
      </w:r>
      <w:r>
        <w:rPr>
          <w:rFonts w:hint="eastAsia" w:ascii="仿宋_GB2312" w:hAnsi="ˎ̥" w:eastAsia="仿宋_GB2312"/>
          <w:sz w:val="32"/>
          <w:szCs w:val="32"/>
        </w:rPr>
        <w:t>0.00万元。全年安排因公出国（境）团组0个，因公出国（境）0人次。因公出国（境）费支出决算比预算数减少49.9万元，下降100%。主要原因是</w:t>
      </w:r>
      <w:r>
        <w:rPr>
          <w:rFonts w:hint="eastAsia" w:ascii="仿宋_GB2312" w:hAnsi="仿宋_GB2312" w:eastAsia="仿宋_GB2312" w:cs="仿宋_GB2312"/>
          <w:bCs/>
          <w:sz w:val="32"/>
          <w:szCs w:val="32"/>
        </w:rPr>
        <w:t>受疫情影响，本年度未安排出国交流活动</w:t>
      </w:r>
      <w:r>
        <w:rPr>
          <w:rFonts w:ascii="仿宋_GB2312" w:hAnsi="仿宋_GB2312" w:eastAsia="仿宋_GB2312" w:cs="仿宋_GB2312"/>
          <w:bCs/>
          <w:sz w:val="32"/>
          <w:szCs w:val="32"/>
        </w:rPr>
        <w:t>。</w:t>
      </w:r>
    </w:p>
    <w:p>
      <w:pPr>
        <w:widowControl/>
        <w:numPr>
          <w:numId w:val="0"/>
        </w:numPr>
        <w:spacing w:afterAutospacing="0" w:line="240" w:lineRule="auto"/>
        <w:ind w:firstLine="640" w:firstLineChars="200"/>
        <w:rPr>
          <w:rFonts w:ascii="仿宋_GB2312" w:hAnsi="ˎ̥" w:eastAsia="仿宋_GB2312"/>
          <w:b w:val="0"/>
          <w:bCs/>
          <w:sz w:val="32"/>
          <w:szCs w:val="32"/>
        </w:rPr>
      </w:pPr>
      <w:r>
        <w:rPr>
          <w:rFonts w:hint="eastAsia" w:ascii="仿宋_GB2312" w:hAnsi="ˎ̥" w:eastAsia="仿宋_GB2312"/>
          <w:b w:val="0"/>
          <w:bCs/>
          <w:sz w:val="32"/>
          <w:szCs w:val="32"/>
        </w:rPr>
        <w:t>2.公务用车购置及运行维护费支出11.1万元。其中：</w:t>
      </w:r>
    </w:p>
    <w:p>
      <w:pPr>
        <w:ind w:firstLine="640" w:firstLineChars="200"/>
        <w:rPr>
          <w:rFonts w:ascii="仿宋_GB2312" w:hAnsi="ˎ̥" w:eastAsia="仿宋_GB2312"/>
          <w:b w:val="0"/>
          <w:bCs/>
          <w:sz w:val="32"/>
          <w:szCs w:val="32"/>
        </w:rPr>
      </w:pPr>
      <w:r>
        <w:rPr>
          <w:rFonts w:hint="eastAsia" w:ascii="仿宋_GB2312" w:hAnsi="ˎ̥" w:eastAsia="仿宋_GB2312"/>
          <w:b w:val="0"/>
          <w:bCs/>
          <w:sz w:val="32"/>
          <w:szCs w:val="32"/>
        </w:rPr>
        <w:t>公务用车购置支出0万元，全年公务用车购置0辆，年末公务用车保有量6辆。</w:t>
      </w:r>
    </w:p>
    <w:p>
      <w:pPr>
        <w:ind w:firstLine="640" w:firstLineChars="200"/>
        <w:rPr>
          <w:rFonts w:ascii="仿宋_GB2312" w:hAnsi="ˎ̥" w:eastAsia="仿宋_GB2312"/>
          <w:sz w:val="32"/>
          <w:szCs w:val="32"/>
        </w:rPr>
      </w:pPr>
      <w:r>
        <w:rPr>
          <w:rFonts w:hint="eastAsia" w:ascii="仿宋_GB2312" w:hAnsi="ˎ̥" w:eastAsia="仿宋_GB2312"/>
          <w:b w:val="0"/>
          <w:bCs/>
          <w:sz w:val="32"/>
          <w:szCs w:val="32"/>
        </w:rPr>
        <w:t>公务用车运行维护费支出11.1</w:t>
      </w:r>
      <w:r>
        <w:rPr>
          <w:rFonts w:hint="eastAsia" w:ascii="仿宋_GB2312" w:hAnsi="ˎ̥" w:eastAsia="仿宋_GB2312"/>
          <w:b w:val="0"/>
          <w:bCs/>
          <w:sz w:val="32"/>
          <w:szCs w:val="32"/>
          <w:lang w:val="en-US" w:eastAsia="zh-CN"/>
        </w:rPr>
        <w:t>1</w:t>
      </w:r>
      <w:r>
        <w:rPr>
          <w:rFonts w:hint="eastAsia" w:ascii="仿宋_GB2312" w:hAnsi="ˎ̥" w:eastAsia="仿宋_GB2312"/>
          <w:b w:val="0"/>
          <w:bCs/>
          <w:sz w:val="32"/>
          <w:szCs w:val="32"/>
        </w:rPr>
        <w:t>万元，主要用于</w:t>
      </w:r>
      <w:r>
        <w:rPr>
          <w:rFonts w:hint="eastAsia" w:ascii="仿宋_GB2312" w:hAnsi="仿宋_GB2312" w:eastAsia="仿宋_GB2312" w:cs="仿宋_GB2312"/>
          <w:b w:val="0"/>
          <w:bCs/>
          <w:sz w:val="32"/>
          <w:szCs w:val="32"/>
        </w:rPr>
        <w:t>市内因公出行所发生的车辆燃料费、维修费、保险费等</w:t>
      </w:r>
      <w:r>
        <w:rPr>
          <w:rFonts w:ascii="仿宋_GB2312" w:hAnsi="仿宋_GB2312" w:eastAsia="仿宋_GB2312" w:cs="仿宋_GB2312"/>
          <w:b w:val="0"/>
          <w:bCs/>
          <w:sz w:val="32"/>
          <w:szCs w:val="32"/>
        </w:rPr>
        <w:t>。</w:t>
      </w:r>
      <w:r>
        <w:rPr>
          <w:rFonts w:hint="eastAsia" w:ascii="仿宋_GB2312" w:hAnsi="ˎ̥" w:eastAsia="仿宋_GB2312"/>
          <w:b w:val="0"/>
          <w:bCs/>
          <w:sz w:val="32"/>
          <w:szCs w:val="32"/>
        </w:rPr>
        <w:t>。</w:t>
      </w:r>
    </w:p>
    <w:p>
      <w:pPr>
        <w:ind w:firstLine="640" w:firstLineChars="200"/>
        <w:rPr>
          <w:rFonts w:ascii="仿宋_GB2312" w:hAnsi="ˎ̥" w:eastAsia="仿宋_GB2312"/>
          <w:bCs/>
          <w:sz w:val="32"/>
          <w:szCs w:val="32"/>
        </w:rPr>
      </w:pPr>
      <w:r>
        <w:rPr>
          <w:rFonts w:hint="eastAsia" w:ascii="仿宋_GB2312" w:hAnsi="ˎ̥" w:eastAsia="仿宋_GB2312"/>
          <w:bCs/>
          <w:sz w:val="32"/>
          <w:szCs w:val="32"/>
        </w:rPr>
        <w:t>公务用车购置及运行费支出决算数</w:t>
      </w:r>
      <w:r>
        <w:rPr>
          <w:rFonts w:hint="eastAsia" w:ascii="仿宋_GB2312" w:hAnsi="ˎ̥" w:eastAsia="仿宋_GB2312"/>
          <w:sz w:val="32"/>
          <w:szCs w:val="32"/>
        </w:rPr>
        <w:t>比预算数减少12.69万元，下降53.32%。主要原因是</w:t>
      </w:r>
      <w:r>
        <w:rPr>
          <w:rFonts w:hint="eastAsia" w:ascii="仿宋_GB2312" w:hAnsi="仿宋_GB2312" w:eastAsia="仿宋_GB2312" w:cs="仿宋_GB2312"/>
          <w:bCs/>
          <w:sz w:val="32"/>
          <w:szCs w:val="32"/>
        </w:rPr>
        <w:t>深入贯彻落实中央“八项规定”的相关政策，严格控制车辆运行费用开支</w:t>
      </w:r>
      <w:r>
        <w:rPr>
          <w:rFonts w:hint="eastAsia" w:ascii="仿宋_GB2312" w:hAnsi="ˎ̥" w:eastAsia="仿宋_GB2312"/>
          <w:sz w:val="32"/>
          <w:szCs w:val="32"/>
        </w:rPr>
        <w:t>。</w:t>
      </w:r>
    </w:p>
    <w:p>
      <w:pPr>
        <w:rPr>
          <w:rFonts w:ascii="仿宋_GB2312" w:hAnsi="ˎ̥" w:eastAsia="仿宋_GB2312"/>
          <w:b w:val="0"/>
          <w:bCs/>
          <w:sz w:val="32"/>
          <w:szCs w:val="32"/>
        </w:rPr>
      </w:pPr>
      <w:r>
        <w:rPr>
          <w:rFonts w:hint="eastAsia" w:ascii="仿宋_GB2312" w:hAnsi="ˎ̥" w:eastAsia="仿宋_GB2312"/>
          <w:b/>
          <w:sz w:val="32"/>
          <w:szCs w:val="32"/>
        </w:rPr>
        <w:t xml:space="preserve">   </w:t>
      </w:r>
      <w:r>
        <w:rPr>
          <w:rFonts w:hint="eastAsia" w:ascii="仿宋_GB2312" w:hAnsi="ˎ̥" w:eastAsia="仿宋_GB2312"/>
          <w:b w:val="0"/>
          <w:bCs/>
          <w:sz w:val="32"/>
          <w:szCs w:val="32"/>
        </w:rPr>
        <w:t xml:space="preserve"> 3.公务接待费支出2.73 万元，其中：</w:t>
      </w:r>
    </w:p>
    <w:p>
      <w:pPr>
        <w:pStyle w:val="2"/>
        <w:spacing w:line="560" w:lineRule="exact"/>
        <w:ind w:firstLine="643"/>
        <w:rPr>
          <w:rFonts w:ascii="仿宋_GB2312" w:hAnsi="仿宋_GB2312" w:eastAsia="仿宋_GB2312" w:cs="仿宋_GB2312"/>
          <w:bCs/>
          <w:sz w:val="32"/>
          <w:szCs w:val="32"/>
        </w:rPr>
      </w:pPr>
      <w:r>
        <w:rPr>
          <w:rFonts w:hint="eastAsia" w:ascii="仿宋_GB2312" w:hAnsi="ˎ̥" w:eastAsia="仿宋_GB2312"/>
          <w:b w:val="0"/>
          <w:bCs/>
          <w:sz w:val="32"/>
          <w:szCs w:val="32"/>
        </w:rPr>
        <w:t>国内接待费支出2.73万元，国内公务接待34批次，接待265人次；主要用于</w:t>
      </w:r>
      <w:r>
        <w:rPr>
          <w:rFonts w:hint="eastAsia" w:ascii="仿宋_GB2312" w:hAnsi="仿宋_GB2312" w:eastAsia="仿宋_GB2312" w:cs="仿宋_GB2312"/>
          <w:b w:val="0"/>
          <w:bCs/>
          <w:sz w:val="32"/>
          <w:szCs w:val="32"/>
        </w:rPr>
        <w:t>单位发生的接待费用，承担全国（省）性培训、技能比赛、教学能力大赛</w:t>
      </w:r>
      <w:r>
        <w:rPr>
          <w:rFonts w:hint="eastAsia" w:ascii="仿宋_GB2312" w:hAnsi="仿宋_GB2312" w:eastAsia="仿宋_GB2312" w:cs="仿宋_GB2312"/>
          <w:bCs/>
          <w:sz w:val="32"/>
          <w:szCs w:val="32"/>
        </w:rPr>
        <w:t>等接待任务；承担上级及省（内）外相关部门及人员的考察、交流、调研等接待任务</w:t>
      </w:r>
      <w:r>
        <w:rPr>
          <w:rFonts w:ascii="仿宋_GB2312" w:hAnsi="仿宋_GB2312" w:eastAsia="仿宋_GB2312" w:cs="仿宋_GB2312"/>
          <w:bCs/>
          <w:sz w:val="32"/>
          <w:szCs w:val="32"/>
        </w:rPr>
        <w:t>。</w:t>
      </w:r>
    </w:p>
    <w:p>
      <w:pPr>
        <w:ind w:firstLine="640" w:firstLineChars="200"/>
        <w:rPr>
          <w:rFonts w:ascii="仿宋_GB2312" w:hAnsi="ˎ̥" w:eastAsia="仿宋_GB2312"/>
          <w:sz w:val="32"/>
          <w:szCs w:val="32"/>
        </w:rPr>
      </w:pPr>
      <w:r>
        <w:rPr>
          <w:rFonts w:hint="eastAsia" w:ascii="仿宋_GB2312" w:hAnsi="ˎ̥" w:eastAsia="仿宋_GB2312"/>
          <w:sz w:val="32"/>
          <w:szCs w:val="32"/>
        </w:rPr>
        <w:t>国（境）外接待费支出0.00万元，国（境）外公务接待0批次，接待0人次。</w:t>
      </w:r>
    </w:p>
    <w:p>
      <w:pPr>
        <w:ind w:firstLine="640" w:firstLineChars="200"/>
        <w:rPr>
          <w:rFonts w:ascii="仿宋_GB2312" w:hAnsi="ˎ̥" w:eastAsia="仿宋_GB2312"/>
          <w:sz w:val="32"/>
          <w:szCs w:val="32"/>
        </w:rPr>
      </w:pPr>
      <w:r>
        <w:rPr>
          <w:rFonts w:hint="eastAsia" w:ascii="仿宋_GB2312" w:hAnsi="ˎ̥" w:eastAsia="仿宋_GB2312"/>
          <w:sz w:val="32"/>
          <w:szCs w:val="32"/>
        </w:rPr>
        <w:t>公务接待费支出决算数比预算数减少1.63万元，下降37.38%。主要原因是</w:t>
      </w:r>
      <w:r>
        <w:rPr>
          <w:rFonts w:hint="eastAsia" w:ascii="仿宋_GB2312" w:hAnsi="仿宋_GB2312" w:eastAsia="仿宋_GB2312" w:cs="仿宋_GB2312"/>
          <w:bCs/>
          <w:sz w:val="32"/>
          <w:szCs w:val="32"/>
        </w:rPr>
        <w:t>因疫情影响，公务交流活动减少</w:t>
      </w:r>
      <w:r>
        <w:rPr>
          <w:rFonts w:hint="eastAsia" w:ascii="仿宋_GB2312" w:hAnsi="ˎ̥" w:eastAsia="仿宋_GB2312"/>
          <w:sz w:val="32"/>
          <w:szCs w:val="32"/>
        </w:rPr>
        <w:t>。</w:t>
      </w:r>
    </w:p>
    <w:p>
      <w:pPr>
        <w:ind w:firstLine="627" w:firstLineChars="196"/>
        <w:rPr>
          <w:rFonts w:ascii="仿宋_GB2312" w:hAnsi="ˎ̥" w:eastAsia="楷体_GB2312"/>
          <w:sz w:val="32"/>
          <w:szCs w:val="32"/>
        </w:rPr>
      </w:pPr>
      <w:r>
        <w:rPr>
          <w:rFonts w:hint="eastAsia" w:ascii="黑体" w:hAnsi="黑体" w:eastAsia="黑体" w:cs="黑体"/>
          <w:bCs/>
          <w:sz w:val="32"/>
          <w:szCs w:val="32"/>
        </w:rPr>
        <w:t>十、政府性基金预算财政拨款“三公”经费支出决算情况说明</w:t>
      </w:r>
    </w:p>
    <w:p>
      <w:pPr>
        <w:ind w:firstLine="640" w:firstLineChars="200"/>
        <w:rPr>
          <w:rFonts w:ascii="仿宋_GB2312" w:hAnsi="ˎ̥" w:eastAsia="仿宋_GB2312"/>
          <w:sz w:val="32"/>
          <w:szCs w:val="32"/>
        </w:rPr>
      </w:pPr>
      <w:r>
        <w:rPr>
          <w:rFonts w:hint="eastAsia" w:ascii="仿宋_GB2312" w:hAnsi="ˎ̥" w:eastAsia="仿宋_GB2312"/>
          <w:sz w:val="32"/>
          <w:szCs w:val="32"/>
        </w:rPr>
        <w:t>无</w:t>
      </w:r>
    </w:p>
    <w:p>
      <w:pPr>
        <w:ind w:firstLine="627" w:firstLineChars="196"/>
        <w:rPr>
          <w:rFonts w:ascii="仿宋_GB2312" w:hAnsi="ˎ̥" w:eastAsia="楷体_GB2312"/>
          <w:sz w:val="32"/>
          <w:szCs w:val="32"/>
        </w:rPr>
      </w:pPr>
      <w:r>
        <w:rPr>
          <w:rFonts w:hint="eastAsia" w:ascii="黑体" w:hAnsi="黑体" w:eastAsia="黑体" w:cs="黑体"/>
          <w:bCs/>
          <w:sz w:val="32"/>
          <w:szCs w:val="32"/>
        </w:rPr>
        <w:t>十一、国有资本经营预算财政拨款“三公”经费支出决算情况说明</w:t>
      </w:r>
    </w:p>
    <w:p>
      <w:pPr>
        <w:ind w:firstLine="640" w:firstLineChars="200"/>
        <w:rPr>
          <w:rFonts w:ascii="仿宋_GB2312" w:hAnsi="ˎ̥" w:eastAsia="仿宋_GB2312"/>
          <w:sz w:val="32"/>
          <w:szCs w:val="32"/>
        </w:rPr>
      </w:pPr>
      <w:r>
        <w:rPr>
          <w:rFonts w:hint="eastAsia" w:ascii="仿宋_GB2312" w:hAnsi="ˎ̥" w:eastAsia="仿宋_GB2312"/>
          <w:sz w:val="32"/>
          <w:szCs w:val="32"/>
        </w:rPr>
        <w:t>无</w:t>
      </w:r>
    </w:p>
    <w:p>
      <w:pPr>
        <w:ind w:firstLine="640" w:firstLineChars="200"/>
        <w:rPr>
          <w:rFonts w:ascii="黑体" w:hAnsi="黑体" w:eastAsia="黑体" w:cs="黑体"/>
          <w:bCs/>
          <w:color w:val="auto"/>
          <w:sz w:val="32"/>
          <w:szCs w:val="32"/>
        </w:rPr>
      </w:pPr>
      <w:r>
        <w:rPr>
          <w:rFonts w:hint="eastAsia" w:ascii="黑体" w:hAnsi="黑体" w:eastAsia="黑体" w:cs="黑体"/>
          <w:bCs/>
          <w:color w:val="auto"/>
          <w:sz w:val="32"/>
          <w:szCs w:val="32"/>
        </w:rPr>
        <w:t>十二、预算绩效情况说明。</w:t>
      </w:r>
    </w:p>
    <w:p>
      <w:pPr>
        <w:spacing w:line="578" w:lineRule="exact"/>
        <w:ind w:firstLine="640" w:firstLineChars="200"/>
        <w:rPr>
          <w:rFonts w:ascii="楷体" w:hAnsi="楷体" w:eastAsia="楷体" w:cs="楷体"/>
          <w:b w:val="0"/>
          <w:bCs/>
          <w:sz w:val="32"/>
          <w:szCs w:val="32"/>
        </w:rPr>
      </w:pPr>
      <w:r>
        <w:rPr>
          <w:rFonts w:hint="eastAsia" w:ascii="楷体" w:hAnsi="楷体" w:eastAsia="楷体" w:cs="楷体"/>
          <w:b w:val="0"/>
          <w:bCs/>
          <w:sz w:val="32"/>
          <w:szCs w:val="32"/>
        </w:rPr>
        <w:t>（一）绩效管理工作开展情况。</w:t>
      </w:r>
    </w:p>
    <w:p>
      <w:pPr>
        <w:pStyle w:val="2"/>
        <w:widowControl w:val="0"/>
        <w:spacing w:line="560" w:lineRule="exact"/>
        <w:jc w:val="both"/>
        <w:rPr>
          <w:rFonts w:hint="eastAsia" w:ascii="仿宋_GB2312" w:hAnsi="仿宋_GB2312" w:eastAsia="仿宋_GB2312" w:cs="仿宋_GB2312"/>
          <w:bCs/>
          <w:kern w:val="2"/>
          <w:sz w:val="32"/>
          <w:szCs w:val="32"/>
          <w:highlight w:val="none"/>
          <w:lang w:val="en-US" w:eastAsia="zh-CN" w:bidi="ar-SA"/>
        </w:rPr>
      </w:pPr>
      <w:r>
        <w:rPr>
          <w:rFonts w:hint="eastAsia" w:ascii="仿宋_GB2312" w:hAnsi="仿宋_GB2312" w:eastAsia="仿宋_GB2312" w:cs="仿宋_GB2312"/>
          <w:bCs/>
          <w:kern w:val="2"/>
          <w:sz w:val="32"/>
          <w:szCs w:val="32"/>
          <w:highlight w:val="none"/>
          <w:lang w:val="en-US" w:eastAsia="zh-CN" w:bidi="ar-SA"/>
        </w:rPr>
        <w:t>我院组织对2021年度“学科与专业建设”、“学生事务补助”、“学生资助补助经费”、“设备（装备）购置与运行维护”等共8个预算项目进行了绩效自评，资金总额21，319.38万元，项目整体评价等级为良及以上。</w:t>
      </w:r>
    </w:p>
    <w:p>
      <w:pPr>
        <w:spacing w:line="578" w:lineRule="exact"/>
        <w:ind w:firstLine="640" w:firstLineChars="200"/>
        <w:rPr>
          <w:rFonts w:ascii="楷体" w:hAnsi="楷体" w:eastAsia="楷体" w:cs="楷体"/>
          <w:b w:val="0"/>
          <w:bCs/>
          <w:sz w:val="32"/>
          <w:szCs w:val="32"/>
        </w:rPr>
      </w:pPr>
      <w:r>
        <w:rPr>
          <w:rFonts w:hint="eastAsia" w:ascii="楷体" w:hAnsi="楷体" w:eastAsia="楷体" w:cs="楷体"/>
          <w:b w:val="0"/>
          <w:bCs/>
          <w:sz w:val="32"/>
          <w:szCs w:val="32"/>
        </w:rPr>
        <w:t>（二）部门决算中项目绩效自评结果。</w:t>
      </w:r>
    </w:p>
    <w:p>
      <w:pPr>
        <w:pStyle w:val="2"/>
        <w:widowControl w:val="0"/>
        <w:spacing w:line="560" w:lineRule="exact"/>
        <w:jc w:val="both"/>
        <w:rPr>
          <w:rFonts w:hint="eastAsia" w:ascii="仿宋_GB2312" w:hAnsi="仿宋_GB2312" w:eastAsia="仿宋_GB2312" w:cs="仿宋_GB2312"/>
          <w:bCs/>
          <w:kern w:val="2"/>
          <w:sz w:val="32"/>
          <w:szCs w:val="32"/>
          <w:highlight w:val="none"/>
          <w:lang w:val="en-US" w:eastAsia="zh-CN" w:bidi="ar-SA"/>
        </w:rPr>
      </w:pPr>
      <w:r>
        <w:rPr>
          <w:rFonts w:hint="eastAsia" w:ascii="仿宋_GB2312" w:hAnsi="仿宋_GB2312" w:eastAsia="仿宋_GB2312" w:cs="仿宋_GB2312"/>
          <w:bCs/>
          <w:kern w:val="2"/>
          <w:sz w:val="32"/>
          <w:szCs w:val="32"/>
          <w:highlight w:val="none"/>
          <w:lang w:val="en-US" w:eastAsia="zh-CN" w:bidi="ar-SA"/>
        </w:rPr>
        <w:t>预算项目自评情况具体如下：</w:t>
      </w:r>
    </w:p>
    <w:p>
      <w:pPr>
        <w:pStyle w:val="2"/>
        <w:widowControl w:val="0"/>
        <w:spacing w:line="560" w:lineRule="exact"/>
        <w:jc w:val="both"/>
        <w:rPr>
          <w:rFonts w:hint="eastAsia" w:ascii="仿宋_GB2312" w:hAnsi="仿宋_GB2312" w:eastAsia="仿宋_GB2312" w:cs="仿宋_GB2312"/>
          <w:bCs/>
          <w:kern w:val="2"/>
          <w:sz w:val="32"/>
          <w:szCs w:val="32"/>
          <w:highlight w:val="none"/>
          <w:lang w:val="en-US" w:eastAsia="zh-CN" w:bidi="ar-SA"/>
        </w:rPr>
      </w:pPr>
      <w:r>
        <w:rPr>
          <w:rFonts w:hint="eastAsia" w:ascii="仿宋_GB2312" w:hAnsi="仿宋_GB2312" w:eastAsia="仿宋_GB2312" w:cs="仿宋_GB2312"/>
          <w:bCs/>
          <w:kern w:val="2"/>
          <w:sz w:val="32"/>
          <w:szCs w:val="32"/>
          <w:highlight w:val="none"/>
          <w:lang w:val="en-US" w:eastAsia="zh-CN" w:bidi="ar-SA"/>
        </w:rPr>
        <w:t>1.“学科与专业建设”项目自评得分为88.86分。预算数为552.00万元，完成数为528.00万元，执行率为95.65%。</w:t>
      </w:r>
    </w:p>
    <w:p>
      <w:pPr>
        <w:pStyle w:val="2"/>
        <w:widowControl w:val="0"/>
        <w:spacing w:line="560" w:lineRule="exact"/>
        <w:jc w:val="both"/>
        <w:rPr>
          <w:rFonts w:hint="eastAsia" w:ascii="仿宋_GB2312" w:hAnsi="仿宋_GB2312" w:eastAsia="仿宋_GB2312" w:cs="仿宋_GB2312"/>
          <w:bCs/>
          <w:kern w:val="2"/>
          <w:sz w:val="32"/>
          <w:szCs w:val="32"/>
          <w:highlight w:val="none"/>
          <w:lang w:val="en-US" w:eastAsia="zh-CN" w:bidi="ar-SA"/>
        </w:rPr>
      </w:pPr>
      <w:r>
        <w:rPr>
          <w:rFonts w:hint="eastAsia" w:ascii="仿宋_GB2312" w:hAnsi="仿宋_GB2312" w:eastAsia="仿宋_GB2312" w:cs="仿宋_GB2312"/>
          <w:bCs/>
          <w:kern w:val="2"/>
          <w:sz w:val="32"/>
          <w:szCs w:val="32"/>
          <w:highlight w:val="none"/>
          <w:lang w:val="en-US" w:eastAsia="zh-CN" w:bidi="ar-SA"/>
        </w:rPr>
        <w:t>2.“学生事务补助”项目自评得分为99.16分。预算数为1，019.85万元，完成数为933.75万元，执行率为91.56%。</w:t>
      </w:r>
    </w:p>
    <w:p>
      <w:pPr>
        <w:pStyle w:val="2"/>
        <w:widowControl w:val="0"/>
        <w:spacing w:line="560" w:lineRule="exact"/>
        <w:jc w:val="both"/>
        <w:rPr>
          <w:rFonts w:hint="eastAsia" w:ascii="仿宋_GB2312" w:hAnsi="仿宋_GB2312" w:eastAsia="仿宋_GB2312" w:cs="仿宋_GB2312"/>
          <w:bCs/>
          <w:kern w:val="2"/>
          <w:sz w:val="32"/>
          <w:szCs w:val="32"/>
          <w:highlight w:val="none"/>
          <w:lang w:val="en-US" w:eastAsia="zh-CN" w:bidi="ar-SA"/>
        </w:rPr>
      </w:pPr>
      <w:r>
        <w:rPr>
          <w:rFonts w:hint="eastAsia" w:ascii="仿宋_GB2312" w:hAnsi="仿宋_GB2312" w:eastAsia="仿宋_GB2312" w:cs="仿宋_GB2312"/>
          <w:bCs/>
          <w:kern w:val="2"/>
          <w:sz w:val="32"/>
          <w:szCs w:val="32"/>
          <w:highlight w:val="none"/>
          <w:lang w:val="en-US" w:eastAsia="zh-CN" w:bidi="ar-SA"/>
        </w:rPr>
        <w:t>3.“学生资助补助经费”项目自评得分为99.37分。预算数为1,609.3万元，完成数为1,507.93万元，执行率为93.7%。</w:t>
      </w:r>
    </w:p>
    <w:p>
      <w:pPr>
        <w:pStyle w:val="2"/>
        <w:widowControl w:val="0"/>
        <w:spacing w:line="240" w:lineRule="auto"/>
        <w:ind w:firstLine="0" w:firstLineChars="0"/>
        <w:jc w:val="both"/>
        <w:rPr>
          <w:rFonts w:hint="eastAsia" w:ascii="仿宋_GB2312" w:hAnsi="仿宋_GB2312" w:eastAsia="仿宋_GB2312" w:cs="仿宋_GB2312"/>
          <w:bCs/>
          <w:kern w:val="2"/>
          <w:sz w:val="32"/>
          <w:szCs w:val="32"/>
          <w:highlight w:val="none"/>
          <w:lang w:val="en-US" w:eastAsia="zh-CN" w:bidi="ar-SA"/>
        </w:rPr>
      </w:pPr>
      <w:r>
        <w:rPr>
          <w:rFonts w:hint="eastAsia" w:ascii="仿宋_GB2312" w:hAnsi="仿宋_GB2312" w:eastAsia="仿宋_GB2312" w:cs="仿宋_GB2312"/>
          <w:bCs/>
          <w:kern w:val="2"/>
          <w:sz w:val="32"/>
          <w:szCs w:val="32"/>
          <w:highlight w:val="none"/>
          <w:lang w:val="en-US" w:eastAsia="zh-CN" w:bidi="ar-SA"/>
        </w:rPr>
        <w:t xml:space="preserve">发现的主要问题及原因：对需要资助的困难学生的在校表现，在评审中没有作为一项明确、细化的内容进行评判。     </w:t>
      </w:r>
    </w:p>
    <w:p>
      <w:pPr>
        <w:pStyle w:val="2"/>
        <w:widowControl w:val="0"/>
        <w:spacing w:line="240" w:lineRule="auto"/>
        <w:ind w:firstLine="640" w:firstLineChars="200"/>
        <w:jc w:val="both"/>
        <w:rPr>
          <w:rFonts w:hint="eastAsia" w:ascii="仿宋_GB2312" w:hAnsi="仿宋_GB2312" w:eastAsia="仿宋_GB2312" w:cs="仿宋_GB2312"/>
          <w:bCs/>
          <w:kern w:val="2"/>
          <w:sz w:val="32"/>
          <w:szCs w:val="32"/>
          <w:highlight w:val="none"/>
          <w:lang w:val="en-US" w:eastAsia="zh-CN" w:bidi="ar-SA"/>
        </w:rPr>
      </w:pPr>
      <w:r>
        <w:rPr>
          <w:rFonts w:hint="eastAsia" w:ascii="仿宋_GB2312" w:hAnsi="仿宋_GB2312" w:eastAsia="仿宋_GB2312" w:cs="仿宋_GB2312"/>
          <w:bCs/>
          <w:kern w:val="2"/>
          <w:sz w:val="32"/>
          <w:szCs w:val="32"/>
          <w:highlight w:val="none"/>
          <w:lang w:val="en-US" w:eastAsia="zh-CN" w:bidi="ar-SA"/>
        </w:rPr>
        <w:t>下一步改进措施：全面落实省教育资助政策，把好资助对象认定关口，采取有效监控措施，把教育资助资金准确、及时发放给符合条件的家庭困难学生。把学生的德、能、勤、绩等要求做出合理规定，在资助对象评审中作为重要的认定依据，从制度上引导学生努力向上，积极表现，激发困难学生的学习斗志。加强政策宣传工作，使在校生和学生家长充分了解国家教育扶贫政策。</w:t>
      </w:r>
    </w:p>
    <w:p>
      <w:pPr>
        <w:pStyle w:val="2"/>
        <w:widowControl w:val="0"/>
        <w:spacing w:line="560" w:lineRule="exact"/>
        <w:jc w:val="both"/>
        <w:rPr>
          <w:rFonts w:hint="eastAsia" w:ascii="仿宋_GB2312" w:hAnsi="仿宋_GB2312" w:eastAsia="仿宋_GB2312" w:cs="仿宋_GB2312"/>
          <w:bCs/>
          <w:kern w:val="2"/>
          <w:sz w:val="32"/>
          <w:szCs w:val="32"/>
          <w:highlight w:val="none"/>
          <w:lang w:val="en-US" w:eastAsia="zh-CN" w:bidi="ar-SA"/>
        </w:rPr>
      </w:pPr>
      <w:r>
        <w:rPr>
          <w:rFonts w:hint="eastAsia" w:ascii="仿宋_GB2312" w:hAnsi="仿宋_GB2312" w:eastAsia="仿宋_GB2312" w:cs="仿宋_GB2312"/>
          <w:bCs/>
          <w:kern w:val="2"/>
          <w:sz w:val="32"/>
          <w:szCs w:val="32"/>
          <w:highlight w:val="none"/>
          <w:lang w:val="en-US" w:eastAsia="zh-CN" w:bidi="ar-SA"/>
        </w:rPr>
        <w:t>4.“设备（装备）购置与运行维护”项目自评得分为98.83分。预算数为424.9万元，完成数为403.78万元，执行率为95.03%。</w:t>
      </w:r>
    </w:p>
    <w:p>
      <w:pPr>
        <w:pStyle w:val="2"/>
        <w:widowControl w:val="0"/>
        <w:spacing w:line="560" w:lineRule="exact"/>
        <w:jc w:val="both"/>
        <w:rPr>
          <w:rFonts w:hint="eastAsia" w:ascii="仿宋_GB2312" w:hAnsi="仿宋_GB2312" w:eastAsia="仿宋_GB2312" w:cs="仿宋_GB2312"/>
          <w:bCs/>
          <w:kern w:val="2"/>
          <w:sz w:val="32"/>
          <w:szCs w:val="32"/>
          <w:highlight w:val="none"/>
          <w:lang w:val="en-US" w:eastAsia="zh-CN" w:bidi="ar-SA"/>
        </w:rPr>
      </w:pPr>
      <w:r>
        <w:rPr>
          <w:rFonts w:hint="eastAsia" w:ascii="仿宋_GB2312" w:hAnsi="仿宋_GB2312" w:eastAsia="仿宋_GB2312" w:cs="仿宋_GB2312"/>
          <w:bCs/>
          <w:kern w:val="2"/>
          <w:sz w:val="32"/>
          <w:szCs w:val="32"/>
          <w:highlight w:val="none"/>
          <w:lang w:val="en-US" w:eastAsia="zh-CN" w:bidi="ar-SA"/>
        </w:rPr>
        <w:t>发现的主要问题及原因：项目绩效指标-政府采购率未完成该指标。下一步改进措施：统筹规划全年的政府采购预算目标，将预算目标合理安排及执行。</w:t>
      </w:r>
    </w:p>
    <w:p>
      <w:pPr>
        <w:pStyle w:val="2"/>
        <w:widowControl w:val="0"/>
        <w:spacing w:line="560" w:lineRule="exact"/>
        <w:jc w:val="both"/>
        <w:rPr>
          <w:rFonts w:hint="eastAsia" w:ascii="仿宋_GB2312" w:hAnsi="仿宋_GB2312" w:eastAsia="仿宋_GB2312" w:cs="仿宋_GB2312"/>
          <w:bCs/>
          <w:kern w:val="2"/>
          <w:sz w:val="32"/>
          <w:szCs w:val="32"/>
          <w:highlight w:val="none"/>
          <w:lang w:val="en-US" w:eastAsia="zh-CN" w:bidi="ar-SA"/>
        </w:rPr>
      </w:pPr>
      <w:r>
        <w:rPr>
          <w:rFonts w:hint="eastAsia" w:ascii="仿宋_GB2312" w:hAnsi="仿宋_GB2312" w:eastAsia="仿宋_GB2312" w:cs="仿宋_GB2312"/>
          <w:bCs/>
          <w:kern w:val="2"/>
          <w:sz w:val="32"/>
          <w:szCs w:val="32"/>
          <w:highlight w:val="none"/>
          <w:lang w:val="en-US" w:eastAsia="zh-CN" w:bidi="ar-SA"/>
        </w:rPr>
        <w:t>5.“现代职业教育质量提升计划”项目自评得分为87.71分。预算数为8,812万元，完成数为8,485.09万元，执行率为91.34%。发现的主要问题及原因：一是项目支出预算按照政府支出功能分类与支出经济分类科目分解、细化不够精准，项目资金实际支出在总量控制、子项目之间调剂使用情况；二是项目预算支出具体内容与项目绩效目标内容不匹配，其中房屋建筑物购建、设备设施更新改造、信息网络及软件更新等支出占比较大，未设置相应项目绩效指标；产出指标—试点项目学生补助人数≥1600人，项目预算及项目实际支出均无学生补助款，该项目绩效指标与本项目实施内容及预算支出不匹配；三是设置项目绩效指标不易于评价，如社会效益指标-促进高校持续健康发展≥3年、社会效益指标-教学效果提高率≥90%的绩效目标设置欠缺合理性，无可量化的评分标准，给实际评价中的取数及评价过程造成一定的困难；四是项目资金支付进度未能按期完成，2022年4月1日支付2020年纸质图书采购合同款，存在项目资金跨年支付情况。</w:t>
      </w:r>
    </w:p>
    <w:p>
      <w:pPr>
        <w:pStyle w:val="2"/>
        <w:widowControl w:val="0"/>
        <w:spacing w:line="560" w:lineRule="exact"/>
        <w:jc w:val="both"/>
        <w:rPr>
          <w:rFonts w:hint="eastAsia" w:ascii="仿宋_GB2312" w:hAnsi="仿宋_GB2312" w:eastAsia="仿宋" w:cs="仿宋_GB2312"/>
          <w:bCs/>
          <w:kern w:val="2"/>
          <w:sz w:val="32"/>
          <w:szCs w:val="32"/>
          <w:highlight w:val="none"/>
          <w:lang w:val="en-US" w:eastAsia="zh-CN" w:bidi="ar-SA"/>
        </w:rPr>
      </w:pPr>
      <w:r>
        <w:rPr>
          <w:rFonts w:hint="eastAsia" w:ascii="仿宋_GB2312" w:hAnsi="仿宋_GB2312" w:eastAsia="仿宋_GB2312" w:cs="仿宋_GB2312"/>
          <w:bCs/>
          <w:kern w:val="2"/>
          <w:sz w:val="32"/>
          <w:szCs w:val="32"/>
          <w:highlight w:val="none"/>
          <w:lang w:val="en-US" w:eastAsia="zh-CN" w:bidi="ar-SA"/>
        </w:rPr>
        <w:t>下一步改进措施：一是编制项目预算时做到综合预算，细化编制，落实具体用途，实际项目支出严格按照预算项目支出分类及金额控制项目支出，强化项目预算管理，保证项目预算资金的合理使用，提高项目预算资金使用效益；二是项目预算资金量分配和安排情况，设置项目绩效目标及项目绩效指标，确保项目预算资金量和项目目标之间的匹配性、评价指标与绩效目标之间的对应性等，如对项目预算有安排且实际较大支出的项目设置项目绩效评价指标，房屋建筑物建设项目投资（完工）数量或比率、设备设施更新改造数量或比率，信息网络及软件更新数量等；三是社会效益指标的设置，可根据项目实施效果确定可量化的指标，如在线精品课程推出的效果指标，可以设置社会效益指标—2021年新增在线精品课程学习点击人次；技能大赛作为学生职业技能素质交流学习的平台，以赛促学，提升学习热情，可以设置社会效益指标—技能大赛获奖次数或技能大赛参与人次，都是教学效果提高的可量化指标；四是进一步细化项目实施中各工作环节的管理流程，提高效率，尤其要加强项目资金支付进度管理。</w:t>
      </w:r>
    </w:p>
    <w:p>
      <w:pPr>
        <w:pStyle w:val="2"/>
        <w:widowControl w:val="0"/>
        <w:spacing w:line="560" w:lineRule="exact"/>
        <w:jc w:val="both"/>
        <w:rPr>
          <w:rFonts w:hint="eastAsia" w:ascii="仿宋_GB2312" w:hAnsi="仿宋_GB2312" w:eastAsia="仿宋_GB2312" w:cs="仿宋_GB2312"/>
          <w:bCs/>
          <w:kern w:val="2"/>
          <w:sz w:val="32"/>
          <w:szCs w:val="32"/>
          <w:highlight w:val="none"/>
          <w:lang w:val="en-US" w:eastAsia="zh-CN" w:bidi="ar-SA"/>
        </w:rPr>
      </w:pPr>
      <w:r>
        <w:rPr>
          <w:rFonts w:hint="eastAsia" w:ascii="仿宋_GB2312" w:hAnsi="仿宋_GB2312" w:eastAsia="仿宋_GB2312" w:cs="仿宋_GB2312"/>
          <w:bCs/>
          <w:kern w:val="2"/>
          <w:sz w:val="32"/>
          <w:szCs w:val="32"/>
          <w:highlight w:val="none"/>
          <w:lang w:val="en-US" w:eastAsia="zh-CN" w:bidi="ar-SA"/>
        </w:rPr>
        <w:t>6.“选派来琼挂职干部保障”项目自评得分为90.41分。预算数为10.19万元，完成数为7.69万元，执行率为75.47%。                      发现的主要问题及原因：挂职干部差旅费未足额报销。</w:t>
      </w:r>
    </w:p>
    <w:p>
      <w:pPr>
        <w:pStyle w:val="2"/>
        <w:widowControl w:val="0"/>
        <w:spacing w:line="560" w:lineRule="exact"/>
        <w:jc w:val="both"/>
        <w:rPr>
          <w:rFonts w:hint="eastAsia" w:ascii="仿宋_GB2312" w:hAnsi="仿宋_GB2312" w:eastAsia="仿宋_GB2312" w:cs="仿宋_GB2312"/>
          <w:bCs/>
          <w:kern w:val="2"/>
          <w:sz w:val="32"/>
          <w:szCs w:val="32"/>
          <w:highlight w:val="none"/>
          <w:lang w:val="en-US" w:eastAsia="zh-CN" w:bidi="ar-SA"/>
        </w:rPr>
      </w:pPr>
      <w:r>
        <w:rPr>
          <w:rFonts w:hint="eastAsia" w:ascii="仿宋_GB2312" w:hAnsi="仿宋_GB2312" w:eastAsia="仿宋_GB2312" w:cs="仿宋_GB2312"/>
          <w:bCs/>
          <w:kern w:val="2"/>
          <w:sz w:val="32"/>
          <w:szCs w:val="32"/>
          <w:highlight w:val="none"/>
          <w:lang w:val="en-US" w:eastAsia="zh-CN" w:bidi="ar-SA"/>
        </w:rPr>
        <w:t>下一步改进措施：实际项目支出严格按照预算项目支出分类及金额控制项目支出，强化项目预算管理，加强财务管理，保证项目预算资金的合理使用，提高项目预算资金使用效益。</w:t>
      </w:r>
    </w:p>
    <w:p>
      <w:pPr>
        <w:pStyle w:val="2"/>
        <w:widowControl w:val="0"/>
        <w:spacing w:line="560" w:lineRule="exact"/>
        <w:jc w:val="both"/>
        <w:rPr>
          <w:rFonts w:hint="eastAsia" w:ascii="仿宋_GB2312" w:hAnsi="仿宋_GB2312" w:eastAsia="仿宋_GB2312" w:cs="仿宋_GB2312"/>
          <w:bCs/>
          <w:kern w:val="2"/>
          <w:sz w:val="32"/>
          <w:szCs w:val="32"/>
          <w:highlight w:val="none"/>
          <w:lang w:val="en-US" w:eastAsia="zh-CN" w:bidi="ar-SA"/>
        </w:rPr>
      </w:pPr>
      <w:r>
        <w:rPr>
          <w:rFonts w:hint="eastAsia" w:ascii="仿宋_GB2312" w:hAnsi="仿宋_GB2312" w:eastAsia="仿宋_GB2312" w:cs="仿宋_GB2312"/>
          <w:bCs/>
          <w:kern w:val="2"/>
          <w:sz w:val="32"/>
          <w:szCs w:val="32"/>
          <w:highlight w:val="none"/>
          <w:lang w:val="en-US" w:eastAsia="zh-CN" w:bidi="ar-SA"/>
        </w:rPr>
        <w:t>7.“教育发展专项资金 ”项目自评得分99.25分。预算数为8,882.51万元，完成数为8,215.17万元，执行率为92.49%。</w:t>
      </w:r>
    </w:p>
    <w:p>
      <w:pPr>
        <w:pStyle w:val="2"/>
        <w:widowControl w:val="0"/>
        <w:spacing w:line="560" w:lineRule="exact"/>
        <w:jc w:val="both"/>
        <w:rPr>
          <w:rFonts w:hint="eastAsia" w:ascii="仿宋_GB2312" w:hAnsi="仿宋_GB2312" w:eastAsia="仿宋_GB2312" w:cs="仿宋_GB2312"/>
          <w:bCs/>
          <w:kern w:val="2"/>
          <w:sz w:val="32"/>
          <w:szCs w:val="32"/>
          <w:highlight w:val="none"/>
          <w:lang w:val="en-US" w:eastAsia="zh-CN" w:bidi="ar-SA"/>
        </w:rPr>
      </w:pPr>
      <w:r>
        <w:rPr>
          <w:rFonts w:hint="eastAsia" w:ascii="仿宋_GB2312" w:hAnsi="仿宋_GB2312" w:eastAsia="仿宋_GB2312" w:cs="仿宋_GB2312"/>
          <w:bCs/>
          <w:kern w:val="2"/>
          <w:sz w:val="32"/>
          <w:szCs w:val="32"/>
          <w:highlight w:val="none"/>
          <w:lang w:val="en-US" w:eastAsia="zh-CN" w:bidi="ar-SA"/>
        </w:rPr>
        <w:t>发现的主要问题及原因：一是由于项目支出预算按照政府支出功能分类与支出经济分类科目分解、细化不够精准。下一步改进措施：编制项目预算时做到综合预算，细化编制，落实具体用途，实际项目支出严格按照预算项目支出分类及金额控制项目支出，强化项目预算管理，保证项目预算资金的合理使用，提高项目预算资金使用效益</w:t>
      </w:r>
      <w:r>
        <w:rPr>
          <w:rFonts w:hint="default" w:ascii="仿宋_GB2312" w:hAnsi="仿宋_GB2312" w:eastAsia="仿宋_GB2312" w:cs="仿宋_GB2312"/>
          <w:bCs/>
          <w:kern w:val="2"/>
          <w:sz w:val="32"/>
          <w:szCs w:val="32"/>
          <w:highlight w:val="none"/>
          <w:lang w:val="en-US" w:eastAsia="zh-CN" w:bidi="ar-SA"/>
        </w:rPr>
        <w:t>。</w:t>
      </w:r>
      <w:r>
        <w:rPr>
          <w:rFonts w:hint="eastAsia" w:ascii="仿宋_GB2312" w:hAnsi="仿宋_GB2312" w:eastAsia="仿宋_GB2312" w:cs="仿宋_GB2312"/>
          <w:bCs/>
          <w:kern w:val="2"/>
          <w:sz w:val="32"/>
          <w:szCs w:val="32"/>
          <w:highlight w:val="none"/>
          <w:lang w:val="en-US" w:eastAsia="zh-CN" w:bidi="ar-SA"/>
        </w:rPr>
        <w:t>二是设置考核的指标不容易量化考核。下一步改进措施：可以设置指标-社会效益指标-学生参加竞赛获奖/项或者产出指标-数量指标-工程建设施工面积/平方米。</w:t>
      </w:r>
    </w:p>
    <w:p>
      <w:pPr>
        <w:pStyle w:val="2"/>
        <w:widowControl w:val="0"/>
        <w:spacing w:line="560" w:lineRule="exact"/>
        <w:jc w:val="both"/>
        <w:rPr>
          <w:rFonts w:hint="eastAsia" w:ascii="仿宋_GB2312" w:hAnsi="仿宋_GB2312" w:eastAsia="仿宋_GB2312" w:cs="仿宋_GB2312"/>
          <w:bCs/>
          <w:kern w:val="2"/>
          <w:sz w:val="32"/>
          <w:szCs w:val="32"/>
          <w:highlight w:val="none"/>
          <w:lang w:val="en-US" w:eastAsia="zh-CN" w:bidi="ar-SA"/>
        </w:rPr>
      </w:pPr>
      <w:r>
        <w:rPr>
          <w:rFonts w:hint="eastAsia" w:ascii="仿宋_GB2312" w:hAnsi="仿宋_GB2312" w:eastAsia="仿宋_GB2312" w:cs="仿宋_GB2312"/>
          <w:bCs/>
          <w:kern w:val="2"/>
          <w:sz w:val="32"/>
          <w:szCs w:val="32"/>
          <w:highlight w:val="none"/>
          <w:lang w:val="en-US" w:eastAsia="zh-CN" w:bidi="ar-SA"/>
        </w:rPr>
        <w:t>8.“酒店业人才培养项目 ”项目自评得分95.38分。预算数为8.63万元，完成数为7.23万元，执行率为83.78%。</w:t>
      </w:r>
    </w:p>
    <w:p>
      <w:pPr>
        <w:pStyle w:val="11"/>
        <w:snapToGrid w:val="0"/>
        <w:spacing w:before="0" w:beforeAutospacing="0" w:after="0" w:afterAutospacing="0" w:line="500" w:lineRule="exact"/>
        <w:ind w:firstLine="540" w:firstLineChars="193"/>
        <w:rPr>
          <w:rFonts w:ascii="仿宋_GB2312" w:eastAsia="仿宋_GB2312"/>
          <w:sz w:val="32"/>
          <w:szCs w:val="32"/>
        </w:rPr>
      </w:pPr>
      <w:r>
        <w:rPr>
          <w:rFonts w:hint="eastAsia" w:ascii="仿宋" w:hAnsi="仿宋" w:eastAsia="仿宋" w:cs="宋体"/>
          <w:color w:val="000000"/>
          <w:kern w:val="0"/>
          <w:sz w:val="28"/>
          <w:szCs w:val="28"/>
          <w:highlight w:val="none"/>
        </w:rPr>
        <w:t xml:space="preserve"> </w:t>
      </w:r>
      <w:r>
        <w:rPr>
          <w:rFonts w:hint="eastAsia" w:ascii="仿宋_GB2312" w:hAnsi="仿宋_GB2312" w:eastAsia="仿宋_GB2312" w:cs="仿宋_GB2312"/>
          <w:bCs/>
          <w:kern w:val="2"/>
          <w:sz w:val="32"/>
          <w:szCs w:val="32"/>
          <w:highlight w:val="none"/>
          <w:lang w:val="en-US" w:eastAsia="zh-CN" w:bidi="ar-SA"/>
        </w:rPr>
        <w:t>发现的主要问题及原因：酒店人才培养项目资金使用方向单一，尚未建立有效奖励或激励机制，以鼓励学生积极参与学习。下一步改进措施：在酒店人才培养项目中设立助学金，奖学金，可以设定满足就业指标，晋升指标，标准操作技能等要求，使符合要求的学生能够积极的参加，创建一个积极的学习环境。</w:t>
      </w:r>
    </w:p>
    <w:p>
      <w:pPr>
        <w:ind w:firstLine="640" w:firstLineChars="200"/>
        <w:rPr>
          <w:rFonts w:ascii="黑体" w:hAnsi="黑体" w:eastAsia="黑体" w:cs="黑体"/>
          <w:bCs/>
          <w:sz w:val="32"/>
          <w:szCs w:val="32"/>
        </w:rPr>
      </w:pPr>
      <w:r>
        <w:rPr>
          <w:rFonts w:hint="eastAsia" w:ascii="黑体" w:hAnsi="黑体" w:eastAsia="黑体" w:cs="黑体"/>
          <w:bCs/>
          <w:sz w:val="32"/>
          <w:szCs w:val="32"/>
        </w:rPr>
        <w:t>十三、其他重要事项情况说明。</w:t>
      </w:r>
    </w:p>
    <w:p>
      <w:pPr>
        <w:pStyle w:val="10"/>
        <w:numPr>
          <w:ilvl w:val="0"/>
          <w:numId w:val="3"/>
        </w:numPr>
        <w:ind w:firstLineChars="0"/>
        <w:rPr>
          <w:rFonts w:hint="eastAsia" w:ascii="楷体" w:hAnsi="楷体" w:eastAsia="楷体" w:cs="楷体"/>
          <w:b w:val="0"/>
          <w:bCs/>
          <w:sz w:val="32"/>
          <w:szCs w:val="32"/>
        </w:rPr>
      </w:pPr>
      <w:bookmarkStart w:id="94" w:name="_Toc23598_WPSOffice_Level2"/>
      <w:bookmarkStart w:id="95" w:name="_Toc32639_WPSOffice_Level2"/>
      <w:bookmarkStart w:id="96" w:name="_Toc15565_WPSOffice_Level2"/>
      <w:bookmarkStart w:id="97" w:name="_Toc15262_WPSOffice_Level2"/>
      <w:bookmarkStart w:id="98" w:name="_Toc5978_WPSOffice_Level2"/>
      <w:bookmarkStart w:id="99" w:name="_Toc18325_WPSOffice_Level2"/>
      <w:r>
        <w:rPr>
          <w:rFonts w:hint="eastAsia" w:ascii="楷体" w:hAnsi="楷体" w:eastAsia="楷体" w:cs="楷体"/>
          <w:b w:val="0"/>
          <w:bCs/>
          <w:sz w:val="32"/>
          <w:szCs w:val="32"/>
        </w:rPr>
        <w:t>机关运行经费支出情况。</w:t>
      </w:r>
      <w:bookmarkEnd w:id="94"/>
      <w:bookmarkEnd w:id="95"/>
      <w:bookmarkEnd w:id="96"/>
      <w:bookmarkEnd w:id="97"/>
      <w:bookmarkEnd w:id="98"/>
      <w:bookmarkEnd w:id="99"/>
    </w:p>
    <w:p>
      <w:pPr>
        <w:pStyle w:val="2"/>
        <w:ind w:firstLine="640"/>
        <w:rPr>
          <w:rFonts w:ascii="仿宋_GB2312" w:hAnsi="Times New Roman" w:eastAsia="仿宋_GB2312"/>
          <w:sz w:val="32"/>
          <w:szCs w:val="32"/>
        </w:rPr>
      </w:pPr>
      <w:r>
        <w:rPr>
          <w:rFonts w:hint="eastAsia" w:ascii="仿宋_GB2312" w:hAnsi="Times New Roman" w:eastAsia="仿宋_GB2312"/>
          <w:sz w:val="32"/>
          <w:szCs w:val="32"/>
        </w:rPr>
        <w:t>无</w:t>
      </w:r>
    </w:p>
    <w:p>
      <w:pPr>
        <w:ind w:firstLine="643" w:firstLineChars="200"/>
        <w:rPr>
          <w:rFonts w:ascii="楷体" w:hAnsi="楷体" w:eastAsia="楷体" w:cs="楷体"/>
          <w:b/>
          <w:sz w:val="32"/>
          <w:szCs w:val="32"/>
        </w:rPr>
      </w:pPr>
      <w:bookmarkStart w:id="100" w:name="_Toc30383_WPSOffice_Level2"/>
      <w:bookmarkStart w:id="101" w:name="_Toc23966_WPSOffice_Level2"/>
      <w:bookmarkStart w:id="102" w:name="_Toc13084_WPSOffice_Level2"/>
      <w:bookmarkStart w:id="103" w:name="_Toc25333_WPSOffice_Level2"/>
      <w:bookmarkStart w:id="104" w:name="_Toc3131_WPSOffice_Level2"/>
      <w:bookmarkStart w:id="105" w:name="_Toc32689_WPSOffice_Level2"/>
      <w:r>
        <w:rPr>
          <w:rFonts w:hint="eastAsia" w:ascii="楷体" w:hAnsi="楷体" w:eastAsia="楷体" w:cs="楷体"/>
          <w:b/>
          <w:sz w:val="32"/>
          <w:szCs w:val="32"/>
        </w:rPr>
        <w:t>（二）</w:t>
      </w:r>
      <w:r>
        <w:rPr>
          <w:rFonts w:hint="eastAsia" w:ascii="楷体" w:hAnsi="楷体" w:eastAsia="楷体" w:cs="楷体"/>
          <w:b w:val="0"/>
          <w:bCs/>
          <w:sz w:val="32"/>
          <w:szCs w:val="32"/>
        </w:rPr>
        <w:t>政府采购支出情况。</w:t>
      </w:r>
      <w:bookmarkEnd w:id="100"/>
      <w:bookmarkEnd w:id="101"/>
      <w:bookmarkEnd w:id="102"/>
      <w:bookmarkEnd w:id="103"/>
      <w:bookmarkEnd w:id="104"/>
      <w:bookmarkEnd w:id="105"/>
    </w:p>
    <w:p>
      <w:pPr>
        <w:ind w:firstLine="640" w:firstLineChars="200"/>
        <w:rPr>
          <w:rFonts w:ascii="仿宋_GB2312" w:hAnsi="ˎ̥" w:eastAsia="仿宋_GB2312"/>
          <w:b w:val="0"/>
          <w:bCs w:val="0"/>
          <w:color w:val="auto"/>
          <w:sz w:val="32"/>
          <w:szCs w:val="32"/>
        </w:rPr>
      </w:pPr>
      <w:r>
        <w:rPr>
          <w:rFonts w:hint="eastAsia" w:ascii="仿宋_GB2312" w:hAnsi="ˎ̥" w:eastAsia="仿宋_GB2312"/>
          <w:sz w:val="32"/>
          <w:szCs w:val="32"/>
        </w:rPr>
        <w:t>2021年度海南经贸职业技术学院政府采购支出总额3,382.76万元，其中：政府采购货物支出2,729.27万元、政府采购工程支出653.49万元、政府采购服务支出0.00万元。</w:t>
      </w:r>
      <w:r>
        <w:rPr>
          <w:rFonts w:hint="eastAsia" w:ascii="仿宋_GB2312" w:hAnsi="ˎ̥" w:eastAsia="仿宋_GB2312"/>
          <w:b w:val="0"/>
          <w:bCs w:val="0"/>
          <w:color w:val="auto"/>
          <w:sz w:val="32"/>
          <w:szCs w:val="32"/>
        </w:rPr>
        <w:t>授予中小企业合同金额</w:t>
      </w:r>
      <w:r>
        <w:rPr>
          <w:rFonts w:hint="eastAsia" w:ascii="仿宋_GB2312" w:hAnsi="ˎ̥" w:eastAsia="仿宋_GB2312"/>
          <w:b w:val="0"/>
          <w:bCs w:val="0"/>
          <w:color w:val="auto"/>
          <w:sz w:val="32"/>
          <w:szCs w:val="32"/>
          <w:lang w:val="en-US" w:eastAsia="zh-CN"/>
        </w:rPr>
        <w:t>2,480.71</w:t>
      </w:r>
      <w:r>
        <w:rPr>
          <w:rFonts w:hint="eastAsia" w:ascii="仿宋_GB2312" w:hAnsi="ˎ̥" w:eastAsia="仿宋_GB2312"/>
          <w:b w:val="0"/>
          <w:bCs w:val="0"/>
          <w:color w:val="auto"/>
          <w:sz w:val="32"/>
          <w:szCs w:val="32"/>
        </w:rPr>
        <w:t>万元，占政府采购支出总额的</w:t>
      </w:r>
      <w:r>
        <w:rPr>
          <w:rFonts w:hint="eastAsia" w:ascii="仿宋_GB2312" w:hAnsi="ˎ̥" w:eastAsia="仿宋_GB2312"/>
          <w:b w:val="0"/>
          <w:bCs w:val="0"/>
          <w:color w:val="auto"/>
          <w:sz w:val="32"/>
          <w:szCs w:val="32"/>
          <w:lang w:val="en-US" w:eastAsia="zh-CN"/>
        </w:rPr>
        <w:t>73.33</w:t>
      </w:r>
      <w:r>
        <w:rPr>
          <w:rFonts w:hint="eastAsia" w:ascii="仿宋_GB2312" w:hAnsi="ˎ̥" w:eastAsia="仿宋_GB2312"/>
          <w:b w:val="0"/>
          <w:bCs w:val="0"/>
          <w:color w:val="auto"/>
          <w:sz w:val="32"/>
          <w:szCs w:val="32"/>
        </w:rPr>
        <w:t>%，其中：授予小微企业合同金额</w:t>
      </w:r>
      <w:r>
        <w:rPr>
          <w:rFonts w:hint="eastAsia" w:ascii="仿宋_GB2312" w:hAnsi="ˎ̥" w:eastAsia="仿宋_GB2312"/>
          <w:b w:val="0"/>
          <w:bCs w:val="0"/>
          <w:color w:val="auto"/>
          <w:sz w:val="32"/>
          <w:szCs w:val="32"/>
          <w:lang w:val="en-US" w:eastAsia="zh-CN"/>
        </w:rPr>
        <w:t>902.05</w:t>
      </w:r>
      <w:r>
        <w:rPr>
          <w:rFonts w:hint="eastAsia" w:ascii="仿宋_GB2312" w:hAnsi="ˎ̥" w:eastAsia="仿宋_GB2312"/>
          <w:b w:val="0"/>
          <w:bCs w:val="0"/>
          <w:color w:val="auto"/>
          <w:sz w:val="32"/>
          <w:szCs w:val="32"/>
        </w:rPr>
        <w:t>万元，占政府采购支出总额的</w:t>
      </w:r>
      <w:r>
        <w:rPr>
          <w:rFonts w:hint="eastAsia" w:ascii="仿宋_GB2312" w:hAnsi="ˎ̥" w:eastAsia="仿宋_GB2312"/>
          <w:b w:val="0"/>
          <w:bCs w:val="0"/>
          <w:color w:val="auto"/>
          <w:sz w:val="32"/>
          <w:szCs w:val="32"/>
          <w:lang w:val="en-US" w:eastAsia="zh-CN"/>
        </w:rPr>
        <w:t>26.67</w:t>
      </w:r>
      <w:r>
        <w:rPr>
          <w:rFonts w:hint="eastAsia" w:ascii="仿宋_GB2312" w:hAnsi="ˎ̥" w:eastAsia="仿宋_GB2312"/>
          <w:b w:val="0"/>
          <w:bCs w:val="0"/>
          <w:color w:val="auto"/>
          <w:sz w:val="32"/>
          <w:szCs w:val="32"/>
        </w:rPr>
        <w:t>%。</w:t>
      </w:r>
    </w:p>
    <w:p>
      <w:pPr>
        <w:ind w:firstLine="643" w:firstLineChars="200"/>
        <w:rPr>
          <w:rFonts w:ascii="楷体" w:hAnsi="楷体" w:eastAsia="楷体" w:cs="楷体"/>
          <w:b/>
          <w:sz w:val="32"/>
          <w:szCs w:val="32"/>
        </w:rPr>
      </w:pPr>
      <w:bookmarkStart w:id="106" w:name="_Toc10902_WPSOffice_Level2"/>
      <w:bookmarkStart w:id="107" w:name="_Toc29584_WPSOffice_Level2"/>
      <w:bookmarkStart w:id="108" w:name="_Toc15129_WPSOffice_Level2"/>
      <w:bookmarkStart w:id="109" w:name="_Toc527_WPSOffice_Level2"/>
      <w:bookmarkStart w:id="110" w:name="_Toc19989_WPSOffice_Level2"/>
      <w:bookmarkStart w:id="111" w:name="_Toc6016_WPSOffice_Level2"/>
      <w:r>
        <w:rPr>
          <w:rFonts w:hint="eastAsia" w:ascii="楷体" w:hAnsi="楷体" w:eastAsia="楷体" w:cs="楷体"/>
          <w:b/>
          <w:sz w:val="32"/>
          <w:szCs w:val="32"/>
        </w:rPr>
        <w:t>（三）</w:t>
      </w:r>
      <w:r>
        <w:rPr>
          <w:rFonts w:hint="eastAsia" w:ascii="楷体" w:hAnsi="楷体" w:eastAsia="楷体" w:cs="楷体"/>
          <w:b w:val="0"/>
          <w:bCs/>
          <w:sz w:val="32"/>
          <w:szCs w:val="32"/>
        </w:rPr>
        <w:t>国有资产占用情况。</w:t>
      </w:r>
      <w:bookmarkEnd w:id="106"/>
      <w:bookmarkEnd w:id="107"/>
      <w:bookmarkEnd w:id="108"/>
      <w:bookmarkEnd w:id="109"/>
      <w:bookmarkEnd w:id="110"/>
      <w:bookmarkEnd w:id="111"/>
    </w:p>
    <w:p>
      <w:pPr>
        <w:spacing w:line="578" w:lineRule="exact"/>
        <w:ind w:firstLine="640" w:firstLineChars="200"/>
        <w:rPr>
          <w:rFonts w:ascii="仿宋_GB2312" w:hAnsi="ˎ̥" w:eastAsia="仿宋_GB2312"/>
          <w:sz w:val="32"/>
          <w:szCs w:val="32"/>
        </w:rPr>
      </w:pPr>
      <w:r>
        <w:rPr>
          <w:rFonts w:hint="eastAsia" w:ascii="仿宋_GB2312" w:hAnsi="ˎ̥" w:eastAsia="仿宋_GB2312"/>
          <w:sz w:val="32"/>
          <w:szCs w:val="32"/>
        </w:rPr>
        <w:t>截至2021年12月31日，本部门占用房屋面积113,351.41平方米，其中：办公用房</w:t>
      </w:r>
      <w:r>
        <w:rPr>
          <w:rFonts w:ascii="仿宋_GB2312" w:hAnsi="仿宋_GB2312" w:eastAsia="仿宋_GB2312" w:cs="仿宋_GB2312"/>
          <w:bCs/>
          <w:sz w:val="32"/>
          <w:szCs w:val="32"/>
        </w:rPr>
        <w:t>14</w:t>
      </w:r>
      <w:r>
        <w:rPr>
          <w:rFonts w:hint="eastAsia" w:ascii="仿宋_GB2312" w:hAnsi="仿宋_GB2312" w:eastAsia="仿宋_GB2312" w:cs="仿宋_GB2312"/>
          <w:bCs/>
          <w:sz w:val="32"/>
          <w:szCs w:val="32"/>
        </w:rPr>
        <w:t>,</w:t>
      </w:r>
      <w:r>
        <w:rPr>
          <w:rFonts w:ascii="仿宋_GB2312" w:hAnsi="仿宋_GB2312" w:eastAsia="仿宋_GB2312" w:cs="仿宋_GB2312"/>
          <w:bCs/>
          <w:sz w:val="32"/>
          <w:szCs w:val="32"/>
        </w:rPr>
        <w:t>924.5</w:t>
      </w:r>
      <w:r>
        <w:rPr>
          <w:rFonts w:hint="eastAsia" w:ascii="仿宋_GB2312" w:hAnsi="ˎ̥" w:eastAsia="仿宋_GB2312"/>
          <w:sz w:val="32"/>
          <w:szCs w:val="32"/>
        </w:rPr>
        <w:t>平方米，业务用房</w:t>
      </w:r>
      <w:r>
        <w:rPr>
          <w:rFonts w:ascii="仿宋_GB2312" w:hAnsi="仿宋_GB2312" w:eastAsia="仿宋_GB2312" w:cs="仿宋_GB2312"/>
          <w:bCs/>
          <w:sz w:val="32"/>
          <w:szCs w:val="32"/>
        </w:rPr>
        <w:t>92</w:t>
      </w:r>
      <w:r>
        <w:rPr>
          <w:rFonts w:hint="eastAsia" w:ascii="仿宋_GB2312" w:hAnsi="仿宋_GB2312" w:eastAsia="仿宋_GB2312" w:cs="仿宋_GB2312"/>
          <w:bCs/>
          <w:sz w:val="32"/>
          <w:szCs w:val="32"/>
        </w:rPr>
        <w:t>,</w:t>
      </w:r>
      <w:r>
        <w:rPr>
          <w:rFonts w:ascii="仿宋_GB2312" w:hAnsi="仿宋_GB2312" w:eastAsia="仿宋_GB2312" w:cs="仿宋_GB2312"/>
          <w:bCs/>
          <w:sz w:val="32"/>
          <w:szCs w:val="32"/>
        </w:rPr>
        <w:t>750.75</w:t>
      </w:r>
      <w:r>
        <w:rPr>
          <w:rFonts w:hint="eastAsia" w:ascii="仿宋_GB2312" w:hAnsi="ˎ̥" w:eastAsia="仿宋_GB2312"/>
          <w:sz w:val="32"/>
          <w:szCs w:val="32"/>
        </w:rPr>
        <w:t>平方米，其他（不含构筑物）</w:t>
      </w:r>
      <w:r>
        <w:rPr>
          <w:rFonts w:ascii="仿宋_GB2312" w:hAnsi="仿宋_GB2312" w:eastAsia="仿宋_GB2312" w:cs="仿宋_GB2312"/>
          <w:bCs/>
          <w:sz w:val="32"/>
          <w:szCs w:val="32"/>
        </w:rPr>
        <w:t>5</w:t>
      </w:r>
      <w:r>
        <w:rPr>
          <w:rFonts w:hint="eastAsia" w:ascii="仿宋_GB2312" w:hAnsi="仿宋_GB2312" w:eastAsia="仿宋_GB2312" w:cs="仿宋_GB2312"/>
          <w:bCs/>
          <w:sz w:val="32"/>
          <w:szCs w:val="32"/>
        </w:rPr>
        <w:t>,</w:t>
      </w:r>
      <w:r>
        <w:rPr>
          <w:rFonts w:ascii="仿宋_GB2312" w:hAnsi="仿宋_GB2312" w:eastAsia="仿宋_GB2312" w:cs="仿宋_GB2312"/>
          <w:bCs/>
          <w:sz w:val="32"/>
          <w:szCs w:val="32"/>
        </w:rPr>
        <w:t>676.16</w:t>
      </w:r>
      <w:r>
        <w:rPr>
          <w:rFonts w:hint="eastAsia" w:ascii="仿宋_GB2312" w:hAnsi="ˎ̥" w:eastAsia="仿宋_GB2312"/>
          <w:sz w:val="32"/>
          <w:szCs w:val="32"/>
        </w:rPr>
        <w:t>平方米。</w:t>
      </w:r>
    </w:p>
    <w:p>
      <w:pPr>
        <w:spacing w:line="578" w:lineRule="exact"/>
        <w:ind w:firstLine="640" w:firstLineChars="200"/>
        <w:rPr>
          <w:rFonts w:hint="eastAsia" w:ascii="仿宋_GB2312" w:hAnsi="仿宋_GB2312" w:eastAsia="仿宋_GB2312" w:cs="仿宋_GB2312"/>
          <w:bCs/>
          <w:kern w:val="2"/>
          <w:sz w:val="32"/>
          <w:szCs w:val="32"/>
          <w:lang w:val="en-US" w:eastAsia="zh-CN" w:bidi="ar-SA"/>
        </w:rPr>
      </w:pPr>
      <w:r>
        <w:rPr>
          <w:rFonts w:hint="eastAsia" w:ascii="仿宋_GB2312" w:hAnsi="ˎ̥" w:eastAsia="仿宋_GB2312"/>
          <w:sz w:val="32"/>
          <w:szCs w:val="32"/>
        </w:rPr>
        <w:t>本部门共有车辆6辆，其中：从车辆种类说明：轿车3辆、其他车型3辆，</w:t>
      </w:r>
      <w:r>
        <w:rPr>
          <w:rFonts w:hint="eastAsia" w:ascii="仿宋_GB2312" w:hAnsi="ˎ̥" w:eastAsia="仿宋_GB2312"/>
          <w:color w:val="auto"/>
          <w:sz w:val="32"/>
          <w:szCs w:val="32"/>
        </w:rPr>
        <w:t>其他车型主要是</w:t>
      </w:r>
      <w:r>
        <w:rPr>
          <w:rFonts w:hint="eastAsia" w:ascii="仿宋_GB2312" w:hAnsi="ˎ̥" w:eastAsia="仿宋_GB2312"/>
          <w:color w:val="auto"/>
          <w:sz w:val="32"/>
          <w:szCs w:val="32"/>
          <w:lang w:val="en-US" w:eastAsia="zh-CN"/>
        </w:rPr>
        <w:t>扫路车和商务车</w:t>
      </w:r>
      <w:r>
        <w:rPr>
          <w:rFonts w:hint="eastAsia" w:ascii="仿宋_GB2312" w:hAnsi="ˎ̥" w:eastAsia="仿宋_GB2312"/>
          <w:sz w:val="32"/>
          <w:szCs w:val="32"/>
        </w:rPr>
        <w:t>；从车辆使用情况说明：</w:t>
      </w:r>
      <w:r>
        <w:rPr>
          <w:rFonts w:hint="eastAsia" w:ascii="仿宋_GB2312" w:hAnsi="ˎ̥" w:eastAsia="仿宋_GB2312"/>
          <w:sz w:val="32"/>
          <w:szCs w:val="32"/>
          <w:lang w:val="en-US" w:eastAsia="zh-CN"/>
        </w:rPr>
        <w:t>主要领导干部用车2辆、机要通信用车2辆、应急保障用车1辆、</w:t>
      </w:r>
      <w:r>
        <w:rPr>
          <w:rFonts w:hint="default" w:ascii="仿宋_GB2312" w:hAnsi="仿宋_GB2312" w:eastAsia="仿宋_GB2312" w:cs="仿宋_GB2312"/>
          <w:bCs/>
          <w:kern w:val="2"/>
          <w:sz w:val="32"/>
          <w:szCs w:val="32"/>
          <w:lang w:val="en-US" w:eastAsia="zh-CN" w:bidi="ar-SA"/>
        </w:rPr>
        <w:t>特种专业技术用车</w:t>
      </w:r>
      <w:r>
        <w:rPr>
          <w:rFonts w:hint="eastAsia" w:ascii="仿宋_GB2312" w:hAnsi="仿宋_GB2312" w:eastAsia="仿宋_GB2312" w:cs="仿宋_GB2312"/>
          <w:bCs/>
          <w:kern w:val="2"/>
          <w:sz w:val="32"/>
          <w:szCs w:val="32"/>
          <w:lang w:val="en-US" w:eastAsia="zh-CN" w:bidi="ar-SA"/>
        </w:rPr>
        <w:t>1</w:t>
      </w:r>
      <w:r>
        <w:rPr>
          <w:rFonts w:hint="default" w:ascii="仿宋_GB2312" w:hAnsi="仿宋_GB2312" w:eastAsia="仿宋_GB2312" w:cs="仿宋_GB2312"/>
          <w:bCs/>
          <w:kern w:val="2"/>
          <w:sz w:val="32"/>
          <w:szCs w:val="32"/>
          <w:lang w:val="en-US" w:eastAsia="zh-CN" w:bidi="ar-SA"/>
        </w:rPr>
        <w:t>辆</w:t>
      </w:r>
      <w:r>
        <w:rPr>
          <w:rFonts w:hint="eastAsia" w:ascii="仿宋_GB2312" w:hAnsi="仿宋_GB2312" w:eastAsia="仿宋_GB2312" w:cs="仿宋_GB2312"/>
          <w:bCs/>
          <w:kern w:val="2"/>
          <w:sz w:val="32"/>
          <w:szCs w:val="32"/>
          <w:lang w:val="en-US" w:eastAsia="zh-CN" w:bidi="ar-SA"/>
        </w:rPr>
        <w:t>。</w:t>
      </w:r>
    </w:p>
    <w:p>
      <w:pPr>
        <w:spacing w:line="578" w:lineRule="exact"/>
        <w:ind w:firstLine="640" w:firstLineChars="200"/>
        <w:rPr>
          <w:rFonts w:ascii="仿宋_GB2312" w:hAnsi="ˎ̥" w:eastAsia="仿宋_GB2312"/>
          <w:sz w:val="32"/>
          <w:szCs w:val="32"/>
        </w:rPr>
      </w:pPr>
      <w:r>
        <w:rPr>
          <w:rFonts w:hint="eastAsia" w:ascii="仿宋_GB2312" w:hAnsi="ˎ̥" w:eastAsia="仿宋_GB2312"/>
          <w:sz w:val="32"/>
          <w:szCs w:val="32"/>
        </w:rPr>
        <w:t>单位价值50万元（含）以上通用设备</w:t>
      </w:r>
      <w:r>
        <w:rPr>
          <w:rFonts w:hint="eastAsia" w:ascii="仿宋_GB2312" w:hAnsi="ˎ̥" w:eastAsia="仿宋_GB2312"/>
          <w:sz w:val="32"/>
          <w:szCs w:val="32"/>
          <w:lang w:val="en-US" w:eastAsia="zh-CN"/>
        </w:rPr>
        <w:t>3</w:t>
      </w:r>
      <w:r>
        <w:rPr>
          <w:rFonts w:hint="eastAsia" w:ascii="仿宋_GB2312" w:hAnsi="ˎ̥" w:eastAsia="仿宋_GB2312"/>
          <w:sz w:val="32"/>
          <w:szCs w:val="32"/>
        </w:rPr>
        <w:t>台套，单价100万元（含）以上专用设备0台（套）。</w:t>
      </w:r>
    </w:p>
    <w:p>
      <w:pPr>
        <w:spacing w:line="578" w:lineRule="exact"/>
        <w:ind w:firstLine="640" w:firstLineChars="200"/>
        <w:rPr>
          <w:rFonts w:ascii="仿宋_GB2312" w:hAnsi="ˎ̥" w:eastAsia="仿宋_GB2312"/>
          <w:sz w:val="32"/>
          <w:szCs w:val="32"/>
        </w:rPr>
      </w:pPr>
      <w:r>
        <w:rPr>
          <w:rFonts w:hint="eastAsia" w:ascii="仿宋_GB2312" w:hAnsi="ˎ̥" w:eastAsia="仿宋_GB2312"/>
          <w:sz w:val="32"/>
          <w:szCs w:val="32"/>
        </w:rPr>
        <w:t>年末在建工程44,530.02万元。</w:t>
      </w:r>
    </w:p>
    <w:p>
      <w:pPr>
        <w:pStyle w:val="10"/>
        <w:numPr>
          <w:ilvl w:val="0"/>
          <w:numId w:val="4"/>
        </w:numPr>
        <w:ind w:firstLineChars="0"/>
        <w:rPr>
          <w:rFonts w:hint="eastAsia" w:ascii="楷体" w:hAnsi="楷体" w:eastAsia="楷体" w:cs="楷体"/>
          <w:b w:val="0"/>
          <w:bCs/>
          <w:sz w:val="32"/>
          <w:szCs w:val="32"/>
        </w:rPr>
      </w:pPr>
      <w:bookmarkStart w:id="118" w:name="_GoBack"/>
      <w:r>
        <w:rPr>
          <w:rFonts w:hint="eastAsia" w:ascii="楷体" w:hAnsi="楷体" w:eastAsia="楷体" w:cs="楷体"/>
          <w:b w:val="0"/>
          <w:bCs/>
          <w:sz w:val="32"/>
          <w:szCs w:val="32"/>
        </w:rPr>
        <w:t>重点项目预算绩效情况</w:t>
      </w:r>
    </w:p>
    <w:bookmarkEnd w:id="118"/>
    <w:p>
      <w:pPr>
        <w:ind w:firstLine="640" w:firstLineChars="200"/>
        <w:rPr>
          <w:rFonts w:ascii="仿宋_GB2312" w:hAnsi="黑体" w:eastAsia="仿宋_GB2312" w:cs="仿宋_GB2312"/>
          <w:sz w:val="32"/>
          <w:szCs w:val="32"/>
        </w:rPr>
      </w:pPr>
      <w:r>
        <w:rPr>
          <w:rFonts w:hint="eastAsia" w:ascii="仿宋_GB2312" w:hAnsi="黑体" w:eastAsia="仿宋_GB2312"/>
          <w:sz w:val="32"/>
          <w:szCs w:val="32"/>
        </w:rPr>
        <w:t>1.教育发展专项资金项目，</w:t>
      </w:r>
      <w:r>
        <w:rPr>
          <w:rFonts w:hint="eastAsia" w:ascii="仿宋_GB2312" w:hAnsi="黑体" w:eastAsia="仿宋_GB2312" w:cs="仿宋_GB2312"/>
          <w:sz w:val="32"/>
          <w:szCs w:val="32"/>
        </w:rPr>
        <w:t>预算安排2</w:t>
      </w:r>
      <w:r>
        <w:rPr>
          <w:rFonts w:hint="eastAsia" w:ascii="仿宋_GB2312" w:hAnsi="黑体" w:eastAsia="仿宋_GB2312" w:cs="仿宋_GB2312"/>
          <w:sz w:val="32"/>
          <w:szCs w:val="32"/>
          <w:lang w:val="en-US" w:eastAsia="zh-CN"/>
        </w:rPr>
        <w:t>,</w:t>
      </w:r>
      <w:r>
        <w:rPr>
          <w:rFonts w:hint="eastAsia" w:ascii="仿宋_GB2312" w:hAnsi="黑体" w:eastAsia="仿宋_GB2312" w:cs="仿宋_GB2312"/>
          <w:sz w:val="32"/>
          <w:szCs w:val="32"/>
        </w:rPr>
        <w:t>161万元，主要用于双高建设、党建工作、2021年职业教育人才培养及招生试点培养工作，学生技能比赛，科研建设等，绩效目标是学生受益人数达到10000人以上，科研项目完成数8项以上，人才试点学生补助人数达到1600人以上，打造技术技能人才培养高地和技术技能创新服务平台，引领学院职业教育实现高质量发展，师生满意度达到90%以上。</w:t>
      </w:r>
    </w:p>
    <w:p>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2.现代职业教育质量提升计划专项资金，预算安排9</w:t>
      </w:r>
      <w:r>
        <w:rPr>
          <w:rFonts w:hint="eastAsia" w:ascii="仿宋_GB2312" w:hAnsi="黑体" w:eastAsia="仿宋_GB2312" w:cs="仿宋_GB2312"/>
          <w:sz w:val="32"/>
          <w:szCs w:val="32"/>
          <w:lang w:val="en-US" w:eastAsia="zh-CN"/>
        </w:rPr>
        <w:t>,</w:t>
      </w:r>
      <w:r>
        <w:rPr>
          <w:rFonts w:hint="eastAsia" w:ascii="仿宋_GB2312" w:hAnsi="黑体" w:eastAsia="仿宋_GB2312" w:cs="仿宋_GB2312"/>
          <w:sz w:val="32"/>
          <w:szCs w:val="32"/>
        </w:rPr>
        <w:t>290万元，主要用于双高建设，实训室建设、人才培养、教学资源建设、教材与教法改革建设，校园环境建设等，绩效目标是改善5间以上的实训室环境，科研项目立项25项以上，精品课程建设6门以上，新增图书馆图书2万册，参与师生人数达1万人，师生满意度达90%以上。</w:t>
      </w:r>
    </w:p>
    <w:p>
      <w:pPr>
        <w:pStyle w:val="2"/>
      </w:pPr>
    </w:p>
    <w:p>
      <w:pPr>
        <w:spacing w:line="578" w:lineRule="exact"/>
        <w:ind w:firstLine="640" w:firstLineChars="200"/>
        <w:rPr>
          <w:rFonts w:ascii="仿宋_GB2312" w:hAnsi="ˎ̥" w:eastAsia="仿宋_GB2312"/>
          <w:sz w:val="32"/>
          <w:szCs w:val="32"/>
        </w:rPr>
      </w:pPr>
    </w:p>
    <w:p>
      <w:pPr>
        <w:jc w:val="center"/>
        <w:rPr>
          <w:rFonts w:hint="eastAsia" w:ascii="黑体" w:hAnsi="ˎ̥" w:eastAsia="黑体"/>
          <w:sz w:val="32"/>
          <w:szCs w:val="32"/>
        </w:rPr>
      </w:pPr>
      <w:bookmarkStart w:id="112" w:name="_Toc11039_WPSOffice_Level1"/>
      <w:bookmarkStart w:id="113" w:name="_Toc15425_WPSOffice_Level1"/>
      <w:bookmarkStart w:id="114" w:name="_Toc8808_WPSOffice_Level1"/>
      <w:bookmarkStart w:id="115" w:name="_Toc4398_WPSOffice_Level1"/>
      <w:bookmarkStart w:id="116" w:name="_Toc17580_WPSOffice_Level1"/>
      <w:bookmarkStart w:id="117" w:name="_Toc8874_WPSOffice_Level1"/>
    </w:p>
    <w:p>
      <w:pPr>
        <w:jc w:val="center"/>
        <w:rPr>
          <w:rFonts w:hint="eastAsia" w:ascii="黑体" w:hAnsi="ˎ̥" w:eastAsia="黑体"/>
          <w:sz w:val="32"/>
          <w:szCs w:val="32"/>
        </w:rPr>
      </w:pPr>
    </w:p>
    <w:p>
      <w:pPr>
        <w:jc w:val="center"/>
        <w:rPr>
          <w:rFonts w:ascii="黑体" w:hAnsi="ˎ̥" w:eastAsia="黑体"/>
          <w:sz w:val="32"/>
          <w:szCs w:val="32"/>
        </w:rPr>
      </w:pPr>
      <w:r>
        <w:rPr>
          <w:rFonts w:hint="eastAsia" w:ascii="黑体" w:hAnsi="ˎ̥" w:eastAsia="黑体"/>
          <w:sz w:val="32"/>
          <w:szCs w:val="32"/>
        </w:rPr>
        <w:t>第四部分  名词解释</w:t>
      </w:r>
      <w:bookmarkEnd w:id="112"/>
      <w:bookmarkEnd w:id="113"/>
      <w:bookmarkEnd w:id="114"/>
      <w:bookmarkEnd w:id="115"/>
      <w:bookmarkEnd w:id="116"/>
      <w:bookmarkEnd w:id="117"/>
    </w:p>
    <w:p>
      <w:pPr>
        <w:jc w:val="center"/>
        <w:rPr>
          <w:rFonts w:ascii="黑体" w:hAnsi="ˎ̥" w:eastAsia="黑体"/>
          <w:sz w:val="32"/>
          <w:szCs w:val="32"/>
        </w:rPr>
      </w:pPr>
    </w:p>
    <w:p>
      <w:pPr>
        <w:numPr>
          <w:ilvl w:val="0"/>
          <w:numId w:val="5"/>
        </w:numPr>
        <w:ind w:firstLine="640" w:firstLineChars="200"/>
        <w:rPr>
          <w:rFonts w:ascii="仿宋_GB2312" w:hAnsi="ˎ̥" w:eastAsia="仿宋_GB2312"/>
          <w:sz w:val="32"/>
          <w:szCs w:val="32"/>
        </w:rPr>
      </w:pPr>
      <w:r>
        <w:rPr>
          <w:rFonts w:hint="eastAsia" w:ascii="仿宋_GB2312" w:hAnsi="ˎ̥" w:eastAsia="仿宋_GB2312"/>
          <w:sz w:val="32"/>
          <w:szCs w:val="32"/>
        </w:rPr>
        <w:t>财政拨款收入：指同级政府财政部门当年拨付的各类财政拨款。</w:t>
      </w:r>
    </w:p>
    <w:p>
      <w:pPr>
        <w:ind w:firstLine="640" w:firstLineChars="200"/>
        <w:rPr>
          <w:rFonts w:ascii="仿宋_GB2312" w:hAnsi="ˎ̥" w:eastAsia="仿宋_GB2312"/>
          <w:sz w:val="32"/>
          <w:szCs w:val="32"/>
        </w:rPr>
      </w:pPr>
      <w:r>
        <w:rPr>
          <w:rFonts w:hint="eastAsia" w:ascii="仿宋_GB2312" w:hAnsi="ˎ̥" w:eastAsia="仿宋_GB2312"/>
          <w:sz w:val="32"/>
          <w:szCs w:val="32"/>
        </w:rPr>
        <w:t>二、上级补助收入：指事业单位从主管部门和上级单位取得的非财政补助收入。</w:t>
      </w:r>
    </w:p>
    <w:p>
      <w:pPr>
        <w:ind w:firstLine="640" w:firstLineChars="200"/>
        <w:rPr>
          <w:rFonts w:ascii="仿宋_GB2312" w:hAnsi="ˎ̥" w:eastAsia="仿宋_GB2312"/>
          <w:sz w:val="32"/>
          <w:szCs w:val="32"/>
        </w:rPr>
      </w:pPr>
      <w:r>
        <w:rPr>
          <w:rFonts w:hint="eastAsia" w:ascii="仿宋_GB2312" w:hAnsi="ˎ̥" w:eastAsia="仿宋_GB2312"/>
          <w:sz w:val="32"/>
          <w:szCs w:val="32"/>
        </w:rPr>
        <w:t>三、事业收入：指事业单位开展专业业务活动及辅助活动取得的收入。</w:t>
      </w:r>
    </w:p>
    <w:p>
      <w:pPr>
        <w:ind w:firstLine="640" w:firstLineChars="200"/>
        <w:rPr>
          <w:rFonts w:ascii="仿宋_GB2312" w:hAnsi="ˎ̥" w:eastAsia="仿宋_GB2312"/>
          <w:sz w:val="32"/>
          <w:szCs w:val="32"/>
        </w:rPr>
      </w:pPr>
      <w:r>
        <w:rPr>
          <w:rFonts w:hint="eastAsia" w:ascii="仿宋_GB2312" w:hAnsi="ˎ̥" w:eastAsia="仿宋_GB2312"/>
          <w:sz w:val="32"/>
          <w:szCs w:val="32"/>
        </w:rPr>
        <w:t>四、经营收入：指事业单位在专业业务活动及其辅助活动之外开展非独立核算经营活动取得的收入。</w:t>
      </w:r>
    </w:p>
    <w:p>
      <w:pPr>
        <w:ind w:firstLine="640" w:firstLineChars="200"/>
        <w:rPr>
          <w:rFonts w:ascii="仿宋_GB2312" w:hAnsi="ˎ̥" w:eastAsia="仿宋_GB2312"/>
          <w:sz w:val="32"/>
          <w:szCs w:val="32"/>
        </w:rPr>
      </w:pPr>
      <w:r>
        <w:rPr>
          <w:rFonts w:hint="eastAsia" w:ascii="仿宋_GB2312" w:hAnsi="ˎ̥" w:eastAsia="仿宋_GB2312"/>
          <w:sz w:val="32"/>
          <w:szCs w:val="32"/>
        </w:rPr>
        <w:t>五、附属单位上缴收入：指事业单位取得附属独立核算单位根据有关规定上缴的收入。</w:t>
      </w:r>
    </w:p>
    <w:p>
      <w:pPr>
        <w:ind w:firstLine="640" w:firstLineChars="200"/>
        <w:rPr>
          <w:rFonts w:ascii="仿宋_GB2312" w:hAnsi="ˎ̥" w:eastAsia="仿宋_GB2312"/>
          <w:sz w:val="32"/>
          <w:szCs w:val="32"/>
        </w:rPr>
      </w:pPr>
      <w:r>
        <w:rPr>
          <w:rFonts w:hint="eastAsia" w:ascii="仿宋_GB2312" w:hAnsi="ˎ̥" w:eastAsia="仿宋_GB2312"/>
          <w:sz w:val="32"/>
          <w:szCs w:val="32"/>
        </w:rPr>
        <w:t>六、其他收入：指除上述“财政拨款收入”“事业收入”“上级补助收入”“经营收入”“附属单位上缴收入”等以外的收入。</w:t>
      </w:r>
    </w:p>
    <w:p>
      <w:pPr>
        <w:ind w:firstLine="640" w:firstLineChars="200"/>
        <w:rPr>
          <w:rFonts w:ascii="仿宋_GB2312" w:hAnsi="ˎ̥" w:eastAsia="仿宋_GB2312"/>
          <w:sz w:val="32"/>
          <w:szCs w:val="32"/>
        </w:rPr>
      </w:pPr>
      <w:r>
        <w:rPr>
          <w:rFonts w:hint="eastAsia" w:ascii="仿宋_GB2312" w:hAnsi="ˎ̥" w:eastAsia="仿宋_GB2312"/>
          <w:sz w:val="32"/>
          <w:szCs w:val="32"/>
        </w:rPr>
        <w:t>七、使用非财政拨款结余：指事业单位在当年的“财政拨款收入”“事业收入”“经营收入”“其他收入”等不足以安排当年支出的情况下，使用以前年度积累的非限定用途的非同级财政拨款结余资金弥补本年度收支缺口。</w:t>
      </w:r>
    </w:p>
    <w:p>
      <w:pPr>
        <w:ind w:firstLine="640" w:firstLineChars="200"/>
        <w:rPr>
          <w:rFonts w:ascii="仿宋_GB2312" w:hAnsi="ˎ̥" w:eastAsia="仿宋_GB2312"/>
          <w:sz w:val="32"/>
          <w:szCs w:val="32"/>
        </w:rPr>
      </w:pPr>
      <w:r>
        <w:rPr>
          <w:rFonts w:hint="eastAsia" w:ascii="仿宋_GB2312" w:hAnsi="ˎ̥" w:eastAsia="仿宋_GB2312"/>
          <w:sz w:val="32"/>
          <w:szCs w:val="32"/>
        </w:rPr>
        <w:t>八、年初结转和结余：指以前年度尚未完成、结转到本年按有关规定继续使用的资金。</w:t>
      </w:r>
    </w:p>
    <w:p>
      <w:pPr>
        <w:ind w:firstLine="640" w:firstLineChars="200"/>
        <w:rPr>
          <w:rFonts w:ascii="仿宋_GB2312" w:hAnsi="ˎ̥" w:eastAsia="仿宋_GB2312"/>
          <w:sz w:val="32"/>
          <w:szCs w:val="32"/>
        </w:rPr>
      </w:pPr>
      <w:r>
        <w:rPr>
          <w:rFonts w:hint="eastAsia" w:ascii="仿宋_GB2312" w:hAnsi="ˎ̥" w:eastAsia="仿宋_GB2312"/>
          <w:sz w:val="32"/>
          <w:szCs w:val="32"/>
        </w:rPr>
        <w:t>九、结余分配：指事业单位缴纳企业所得税以及从非财政拨款结余或经营结余中提取各类结余的情况。</w:t>
      </w:r>
    </w:p>
    <w:p>
      <w:pPr>
        <w:ind w:firstLine="640" w:firstLineChars="200"/>
        <w:rPr>
          <w:rFonts w:ascii="仿宋_GB2312" w:hAnsi="ˎ̥" w:eastAsia="仿宋_GB2312"/>
          <w:sz w:val="32"/>
          <w:szCs w:val="32"/>
        </w:rPr>
      </w:pPr>
      <w:r>
        <w:rPr>
          <w:rFonts w:hint="eastAsia" w:ascii="仿宋_GB2312" w:hAnsi="ˎ̥" w:eastAsia="仿宋_GB2312"/>
          <w:sz w:val="32"/>
          <w:szCs w:val="32"/>
        </w:rPr>
        <w:t>十、年末结转和结余：指本年度或以前年度预算安排、因客观条件发生变化无法按原计划实施，需要延迟到以后年度按有关规定继续使用的资金（不包括事业单位非财政拨款结余和专用结余）。</w:t>
      </w:r>
    </w:p>
    <w:p>
      <w:pPr>
        <w:ind w:firstLine="640" w:firstLineChars="200"/>
        <w:rPr>
          <w:rFonts w:ascii="仿宋_GB2312" w:hAnsi="ˎ̥" w:eastAsia="仿宋_GB2312"/>
          <w:sz w:val="32"/>
          <w:szCs w:val="32"/>
        </w:rPr>
      </w:pPr>
      <w:r>
        <w:rPr>
          <w:rFonts w:hint="eastAsia" w:ascii="仿宋_GB2312" w:hAnsi="ˎ̥" w:eastAsia="仿宋_GB2312"/>
          <w:sz w:val="32"/>
          <w:szCs w:val="32"/>
        </w:rPr>
        <w:t>十一、基本支出：指为保障机构正常运转、完成日常工作任务而发生的人员支出和公用支出。</w:t>
      </w:r>
    </w:p>
    <w:p>
      <w:pPr>
        <w:ind w:firstLine="640" w:firstLineChars="200"/>
        <w:rPr>
          <w:rFonts w:ascii="仿宋_GB2312" w:hAnsi="ˎ̥" w:eastAsia="仿宋_GB2312"/>
          <w:sz w:val="32"/>
          <w:szCs w:val="32"/>
        </w:rPr>
      </w:pPr>
      <w:r>
        <w:rPr>
          <w:rFonts w:hint="eastAsia" w:ascii="仿宋_GB2312" w:hAnsi="ˎ̥" w:eastAsia="仿宋_GB2312"/>
          <w:sz w:val="32"/>
          <w:szCs w:val="32"/>
        </w:rPr>
        <w:t>十二、项目支出：指在基本支出之外为完成特定行政任务和事业发展目标所发生的支出。</w:t>
      </w:r>
    </w:p>
    <w:p>
      <w:pPr>
        <w:ind w:firstLine="640" w:firstLineChars="200"/>
        <w:rPr>
          <w:rFonts w:ascii="仿宋_GB2312" w:hAnsi="ˎ̥" w:eastAsia="仿宋_GB2312"/>
          <w:sz w:val="32"/>
          <w:szCs w:val="32"/>
        </w:rPr>
      </w:pPr>
      <w:r>
        <w:rPr>
          <w:rFonts w:hint="eastAsia" w:ascii="仿宋_GB2312" w:hAnsi="ˎ̥" w:eastAsia="仿宋_GB2312"/>
          <w:sz w:val="32"/>
          <w:szCs w:val="32"/>
        </w:rPr>
        <w:t>十三、经营支出：指事业单位在专业业务活动及其辅助活动之外开展非独立核算经营活动发生的支出。</w:t>
      </w:r>
    </w:p>
    <w:p>
      <w:pPr>
        <w:ind w:firstLine="640" w:firstLineChars="200"/>
        <w:rPr>
          <w:rFonts w:ascii="仿宋_GB2312" w:hAnsi="ˎ̥" w:eastAsia="仿宋_GB2312"/>
          <w:sz w:val="32"/>
          <w:szCs w:val="32"/>
        </w:rPr>
      </w:pPr>
      <w:r>
        <w:rPr>
          <w:rFonts w:hint="eastAsia" w:ascii="仿宋_GB2312" w:hAnsi="ˎ̥" w:eastAsia="仿宋_GB2312"/>
          <w:sz w:val="32"/>
          <w:szCs w:val="32"/>
        </w:rPr>
        <w:t>十四、“三公”经费：纳入本级财政预决算管理的“三公”经费，是指用一般公共预算财政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pPr>
        <w:ind w:firstLine="645"/>
        <w:rPr>
          <w:rFonts w:ascii="仿宋_GB2312" w:hAnsi="ˎ̥" w:eastAsia="仿宋_GB2312"/>
          <w:sz w:val="32"/>
          <w:szCs w:val="32"/>
        </w:rPr>
      </w:pPr>
      <w:r>
        <w:rPr>
          <w:rFonts w:hint="eastAsia" w:ascii="仿宋_GB2312" w:hAnsi="ˎ̥" w:eastAsia="仿宋_GB2312"/>
          <w:sz w:val="32"/>
          <w:szCs w:val="32"/>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pPr>
        <w:ind w:firstLine="645"/>
        <w:rPr>
          <w:rFonts w:ascii="仿宋_GB2312" w:hAnsi="ˎ̥" w:eastAsia="仿宋_GB2312"/>
          <w:sz w:val="32"/>
          <w:szCs w:val="32"/>
        </w:rPr>
      </w:pPr>
      <w:r>
        <w:rPr>
          <w:rFonts w:hint="eastAsia" w:ascii="仿宋_GB2312" w:hAnsi="ˎ̥" w:eastAsia="仿宋_GB2312"/>
          <w:sz w:val="32"/>
          <w:szCs w:val="32"/>
        </w:rPr>
        <w:t>（支出功能分类的名词解释，各部门（单位）根据实际支出情况填列，可参阅财政部印发的《2021年政府收支分类科目》）</w:t>
      </w:r>
    </w:p>
    <w:p>
      <w:pPr>
        <w:rPr>
          <w:rFonts w:ascii="仿宋_GB2312" w:hAnsi="ˎ̥" w:eastAsia="仿宋_GB2312"/>
          <w:sz w:val="32"/>
          <w:szCs w:val="32"/>
        </w:rPr>
      </w:pPr>
      <w:r>
        <w:rPr>
          <w:rFonts w:hint="eastAsia" w:ascii="仿宋_GB2312" w:hAnsi="ˎ̥" w:eastAsia="仿宋_GB2312"/>
          <w:sz w:val="32"/>
          <w:szCs w:val="32"/>
        </w:rPr>
        <w:t>……</w:t>
      </w:r>
    </w:p>
    <w:p/>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separate"/>
    </w:r>
    <w:r>
      <w:rPr>
        <w:rStyle w:val="6"/>
      </w:rPr>
      <w:t>18</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FC2DCC"/>
    <w:multiLevelType w:val="singleLevel"/>
    <w:tmpl w:val="AFFC2DCC"/>
    <w:lvl w:ilvl="0" w:tentative="0">
      <w:start w:val="1"/>
      <w:numFmt w:val="chineseCounting"/>
      <w:suff w:val="nothing"/>
      <w:lvlText w:val="%1、"/>
      <w:lvlJc w:val="left"/>
      <w:rPr>
        <w:rFonts w:hint="eastAsia"/>
      </w:rPr>
    </w:lvl>
  </w:abstractNum>
  <w:abstractNum w:abstractNumId="1">
    <w:nsid w:val="031B364B"/>
    <w:multiLevelType w:val="singleLevel"/>
    <w:tmpl w:val="031B364B"/>
    <w:lvl w:ilvl="0" w:tentative="0">
      <w:start w:val="1"/>
      <w:numFmt w:val="chineseCounting"/>
      <w:suff w:val="nothing"/>
      <w:lvlText w:val="%1、"/>
      <w:lvlJc w:val="left"/>
      <w:rPr>
        <w:rFonts w:hint="eastAsia"/>
      </w:rPr>
    </w:lvl>
  </w:abstractNum>
  <w:abstractNum w:abstractNumId="2">
    <w:nsid w:val="2FE651DD"/>
    <w:multiLevelType w:val="multilevel"/>
    <w:tmpl w:val="2FE651DD"/>
    <w:lvl w:ilvl="0" w:tentative="0">
      <w:start w:val="4"/>
      <w:numFmt w:val="japaneseCounting"/>
      <w:lvlText w:val="（%1）"/>
      <w:lvlJc w:val="left"/>
      <w:pPr>
        <w:ind w:left="1723" w:hanging="108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3">
    <w:nsid w:val="3F5F55EC"/>
    <w:multiLevelType w:val="multilevel"/>
    <w:tmpl w:val="3F5F55EC"/>
    <w:lvl w:ilvl="0" w:tentative="0">
      <w:start w:val="1"/>
      <w:numFmt w:val="japaneseCounting"/>
      <w:lvlText w:val="（%1）"/>
      <w:lvlJc w:val="left"/>
      <w:pPr>
        <w:ind w:left="1648" w:hanging="1005"/>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4">
    <w:nsid w:val="72109F8D"/>
    <w:multiLevelType w:val="singleLevel"/>
    <w:tmpl w:val="72109F8D"/>
    <w:lvl w:ilvl="0" w:tentative="0">
      <w:start w:val="7"/>
      <w:numFmt w:val="chineseCounting"/>
      <w:suff w:val="nothing"/>
      <w:lvlText w:val="%1、"/>
      <w:lvlJc w:val="left"/>
      <w:rPr>
        <w:rFonts w:hint="eastAsia"/>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2MDI0MTcyYzI0ODY5MTQ5NGU3NDhjMTQ3MzNmZjQifQ=="/>
  </w:docVars>
  <w:rsids>
    <w:rsidRoot w:val="2BF05B22"/>
    <w:rsid w:val="00081F2A"/>
    <w:rsid w:val="000B56BF"/>
    <w:rsid w:val="00183019"/>
    <w:rsid w:val="00340AEF"/>
    <w:rsid w:val="00393CF5"/>
    <w:rsid w:val="003D29A2"/>
    <w:rsid w:val="0050245D"/>
    <w:rsid w:val="00574930"/>
    <w:rsid w:val="00721D01"/>
    <w:rsid w:val="00726300"/>
    <w:rsid w:val="00863F79"/>
    <w:rsid w:val="009924E2"/>
    <w:rsid w:val="00A129DF"/>
    <w:rsid w:val="00AB2832"/>
    <w:rsid w:val="00DF3F4D"/>
    <w:rsid w:val="02E23B94"/>
    <w:rsid w:val="07103CF9"/>
    <w:rsid w:val="0992251A"/>
    <w:rsid w:val="0D786455"/>
    <w:rsid w:val="1008537A"/>
    <w:rsid w:val="15AC15FF"/>
    <w:rsid w:val="15E64932"/>
    <w:rsid w:val="15F555B1"/>
    <w:rsid w:val="17206F1F"/>
    <w:rsid w:val="1B065B6B"/>
    <w:rsid w:val="20C77B4A"/>
    <w:rsid w:val="22BB548D"/>
    <w:rsid w:val="25B135EE"/>
    <w:rsid w:val="29DD03DE"/>
    <w:rsid w:val="2BB1742D"/>
    <w:rsid w:val="2BF05B22"/>
    <w:rsid w:val="2D9D235F"/>
    <w:rsid w:val="2E2C69BD"/>
    <w:rsid w:val="35330CF6"/>
    <w:rsid w:val="37211C1D"/>
    <w:rsid w:val="372D309F"/>
    <w:rsid w:val="37875A30"/>
    <w:rsid w:val="389E342F"/>
    <w:rsid w:val="3AC86541"/>
    <w:rsid w:val="3C5466CB"/>
    <w:rsid w:val="3DB334D8"/>
    <w:rsid w:val="3DDC2A2F"/>
    <w:rsid w:val="3ED64F89"/>
    <w:rsid w:val="3FE07E89"/>
    <w:rsid w:val="407D3FA8"/>
    <w:rsid w:val="44F548D9"/>
    <w:rsid w:val="4584066C"/>
    <w:rsid w:val="4D44414D"/>
    <w:rsid w:val="50CF59BD"/>
    <w:rsid w:val="518E3BE9"/>
    <w:rsid w:val="524766F3"/>
    <w:rsid w:val="527C7EE5"/>
    <w:rsid w:val="57B1418D"/>
    <w:rsid w:val="58FF3D64"/>
    <w:rsid w:val="5B0311A3"/>
    <w:rsid w:val="5B9938B6"/>
    <w:rsid w:val="5E2C0A11"/>
    <w:rsid w:val="5E7D126D"/>
    <w:rsid w:val="5ED95A10"/>
    <w:rsid w:val="5FCA6734"/>
    <w:rsid w:val="5FFE326D"/>
    <w:rsid w:val="622D6B06"/>
    <w:rsid w:val="62F555A9"/>
    <w:rsid w:val="69763488"/>
    <w:rsid w:val="6C5E0930"/>
    <w:rsid w:val="6CE54BAD"/>
    <w:rsid w:val="6E8D72AA"/>
    <w:rsid w:val="6EB8009F"/>
    <w:rsid w:val="732B7092"/>
    <w:rsid w:val="73755A16"/>
    <w:rsid w:val="77381D7D"/>
    <w:rsid w:val="7D575848"/>
    <w:rsid w:val="7DA0067C"/>
    <w:rsid w:val="7E230034"/>
    <w:rsid w:val="7F4A6AF1"/>
    <w:rsid w:val="7FE725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Calibri" w:hAnsi="Calibri"/>
    </w:r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style>
  <w:style w:type="paragraph" w:customStyle="1" w:styleId="7">
    <w:name w:val="WPSOffice手动目录 1"/>
    <w:qFormat/>
    <w:uiPriority w:val="0"/>
    <w:rPr>
      <w:rFonts w:ascii="Times New Roman" w:hAnsi="Times New Roman" w:eastAsia="宋体" w:cs="Times New Roman"/>
      <w:lang w:val="en-US" w:eastAsia="zh-CN" w:bidi="ar-SA"/>
    </w:rPr>
  </w:style>
  <w:style w:type="paragraph" w:customStyle="1" w:styleId="8">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9">
    <w:name w:val="正文1 Char Char Char"/>
    <w:basedOn w:val="1"/>
    <w:qFormat/>
    <w:uiPriority w:val="0"/>
    <w:pPr>
      <w:spacing w:line="360" w:lineRule="auto"/>
      <w:ind w:firstLine="200" w:firstLineChars="200"/>
    </w:pPr>
  </w:style>
  <w:style w:type="paragraph" w:styleId="10">
    <w:name w:val="List Paragraph"/>
    <w:basedOn w:val="1"/>
    <w:unhideWhenUsed/>
    <w:uiPriority w:val="99"/>
    <w:pPr>
      <w:ind w:firstLine="420" w:firstLineChars="200"/>
    </w:pPr>
  </w:style>
  <w:style w:type="paragraph" w:customStyle="1" w:styleId="11">
    <w:name w:val="p0"/>
    <w:basedOn w:val="1"/>
    <w:qFormat/>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22</Pages>
  <Words>9059</Words>
  <Characters>10137</Characters>
  <Lines>71</Lines>
  <Paragraphs>20</Paragraphs>
  <TotalTime>23</TotalTime>
  <ScaleCrop>false</ScaleCrop>
  <LinksUpToDate>false</LinksUpToDate>
  <CharactersWithSpaces>10341</CharactersWithSpaces>
  <Application>WPS Office_11.1.0.12759_F1E327BC-269C-435d-A152-05C5408002CA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2022-09-12T11:51:00Z</dcterms:created>
  <dc:creator>Administrator</dc:creator>
  <cp:lastModifiedBy>妹朵妈</cp:lastModifiedBy>
  <dcterms:modified xsi:type="dcterms:W3CDTF">2022-10-31T09:32:46Z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2052-11.1.0.12759</vt:lpwstr>
  </property>
  <property fmtid="{D5CDD505-2E9C-101B-9397-08002B2CF9AE}" pid="3" name="ICV">
    <vt:lpwstr>C9310F01B5024746A8A91FC631D9847A</vt:lpwstr>
  </property>
</Properties>
</file>